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kern w:val="0"/>
          <w:sz w:val="36"/>
          <w:szCs w:val="36"/>
          <w:lang w:val="zh-CN"/>
        </w:rPr>
      </w:pPr>
    </w:p>
    <w:p>
      <w:pPr>
        <w:pStyle w:val="16"/>
        <w:rPr>
          <w:rFonts w:ascii="宋体" w:hAnsi="宋体" w:cs="宋体"/>
          <w:lang w:val="zh-CN"/>
        </w:rPr>
      </w:pPr>
    </w:p>
    <w:p>
      <w:pPr>
        <w:autoSpaceDE w:val="0"/>
        <w:autoSpaceDN w:val="0"/>
        <w:adjustRightInd w:val="0"/>
        <w:spacing w:line="360" w:lineRule="auto"/>
        <w:jc w:val="center"/>
        <w:rPr>
          <w:rFonts w:ascii="宋体" w:hAnsi="宋体" w:cs="宋体"/>
          <w:kern w:val="0"/>
          <w:sz w:val="36"/>
          <w:szCs w:val="36"/>
          <w:lang w:val="zh-CN"/>
        </w:rPr>
      </w:pPr>
    </w:p>
    <w:p>
      <w:pPr>
        <w:pStyle w:val="16"/>
        <w:rPr>
          <w:rFonts w:ascii="宋体" w:hAnsi="宋体" w:cs="宋体"/>
          <w:lang w:val="zh-CN"/>
        </w:rPr>
      </w:pPr>
    </w:p>
    <w:p>
      <w:pPr>
        <w:autoSpaceDE w:val="0"/>
        <w:autoSpaceDN w:val="0"/>
        <w:adjustRightInd w:val="0"/>
        <w:spacing w:line="360" w:lineRule="auto"/>
        <w:rPr>
          <w:rFonts w:ascii="宋体" w:hAnsi="宋体" w:cs="宋体"/>
          <w:b/>
          <w:kern w:val="0"/>
          <w:sz w:val="48"/>
          <w:szCs w:val="48"/>
          <w:lang w:val="zh-CN"/>
        </w:rPr>
      </w:pPr>
    </w:p>
    <w:p>
      <w:pPr>
        <w:autoSpaceDE w:val="0"/>
        <w:autoSpaceDN w:val="0"/>
        <w:adjustRightInd w:val="0"/>
        <w:spacing w:line="360" w:lineRule="auto"/>
        <w:jc w:val="center"/>
        <w:rPr>
          <w:rFonts w:ascii="宋体" w:hAnsi="宋体" w:cs="宋体"/>
          <w:b/>
          <w:kern w:val="0"/>
          <w:sz w:val="48"/>
          <w:szCs w:val="48"/>
          <w:lang w:val="zh-CN"/>
        </w:rPr>
      </w:pPr>
    </w:p>
    <w:p>
      <w:pPr>
        <w:autoSpaceDE w:val="0"/>
        <w:autoSpaceDN w:val="0"/>
        <w:adjustRightInd w:val="0"/>
        <w:spacing w:line="360" w:lineRule="auto"/>
        <w:jc w:val="center"/>
        <w:rPr>
          <w:rFonts w:ascii="宋体" w:hAnsi="宋体" w:cs="宋体"/>
          <w:b/>
          <w:kern w:val="0"/>
          <w:sz w:val="48"/>
          <w:szCs w:val="48"/>
          <w:lang w:val="zh-CN"/>
        </w:rPr>
      </w:pPr>
    </w:p>
    <w:p>
      <w:pPr>
        <w:autoSpaceDE w:val="0"/>
        <w:autoSpaceDN w:val="0"/>
        <w:adjustRightInd w:val="0"/>
        <w:spacing w:line="360" w:lineRule="auto"/>
        <w:jc w:val="center"/>
        <w:rPr>
          <w:rFonts w:ascii="宋体" w:hAnsi="宋体" w:cs="宋体"/>
          <w:b/>
          <w:kern w:val="0"/>
          <w:sz w:val="84"/>
          <w:szCs w:val="84"/>
          <w:lang w:val="zh-CN"/>
        </w:rPr>
      </w:pPr>
      <w:r>
        <w:rPr>
          <w:rFonts w:hint="eastAsia" w:ascii="宋体" w:hAnsi="宋体" w:cs="宋体"/>
          <w:b/>
          <w:kern w:val="0"/>
          <w:sz w:val="84"/>
          <w:szCs w:val="84"/>
          <w:lang w:val="zh-CN"/>
        </w:rPr>
        <w:t>比 选 文 件</w:t>
      </w:r>
    </w:p>
    <w:p>
      <w:pPr>
        <w:spacing w:line="360" w:lineRule="auto"/>
        <w:ind w:left="1979" w:leftChars="200" w:hanging="1559" w:hangingChars="519"/>
        <w:rPr>
          <w:rFonts w:ascii="宋体" w:hAnsi="宋体" w:cs="宋体"/>
          <w:b/>
          <w:sz w:val="30"/>
          <w:szCs w:val="30"/>
        </w:rPr>
      </w:pPr>
    </w:p>
    <w:p>
      <w:pPr>
        <w:spacing w:line="360" w:lineRule="auto"/>
        <w:rPr>
          <w:rFonts w:ascii="宋体" w:hAnsi="宋体" w:cs="宋体"/>
          <w:b/>
          <w:sz w:val="30"/>
          <w:szCs w:val="30"/>
        </w:rPr>
      </w:pPr>
    </w:p>
    <w:p>
      <w:pPr>
        <w:ind w:left="1807" w:hanging="1802" w:hangingChars="600"/>
        <w:rPr>
          <w:rFonts w:ascii="宋体" w:hAnsi="宋体" w:cs="宋体"/>
          <w:b/>
          <w:sz w:val="28"/>
          <w:szCs w:val="28"/>
        </w:rPr>
      </w:pPr>
      <w:r>
        <w:rPr>
          <w:rFonts w:hint="eastAsia" w:ascii="宋体" w:hAnsi="宋体" w:cs="宋体"/>
          <w:b/>
          <w:sz w:val="30"/>
          <w:szCs w:val="30"/>
        </w:rPr>
        <w:t xml:space="preserve"> 项目名称： </w:t>
      </w:r>
      <w:r>
        <w:rPr>
          <w:rFonts w:hint="eastAsia" w:ascii="宋体" w:hAnsi="宋体" w:cs="宋体"/>
          <w:b/>
          <w:sz w:val="30"/>
          <w:szCs w:val="30"/>
          <w:lang w:eastAsia="zh-Hans"/>
        </w:rPr>
        <w:t>成都七中初中学校</w:t>
      </w:r>
      <w:r>
        <w:rPr>
          <w:rFonts w:hint="eastAsia" w:ascii="宋体" w:hAnsi="宋体" w:cs="宋体"/>
          <w:b/>
          <w:sz w:val="30"/>
          <w:szCs w:val="30"/>
        </w:rPr>
        <w:t>直录播教室设备采购项目</w:t>
      </w:r>
    </w:p>
    <w:p>
      <w:pPr>
        <w:pStyle w:val="16"/>
        <w:ind w:left="1928" w:hanging="1928"/>
        <w:rPr>
          <w:rFonts w:ascii="宋体" w:hAnsi="宋体" w:cs="宋体"/>
        </w:rPr>
      </w:pPr>
    </w:p>
    <w:p>
      <w:pPr>
        <w:spacing w:line="360" w:lineRule="auto"/>
        <w:jc w:val="center"/>
        <w:rPr>
          <w:rFonts w:ascii="宋体" w:hAnsi="宋体" w:cs="宋体"/>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中国·成都</w:t>
      </w:r>
    </w:p>
    <w:p>
      <w:pPr>
        <w:spacing w:line="360" w:lineRule="auto"/>
        <w:jc w:val="center"/>
        <w:rPr>
          <w:rFonts w:ascii="宋体" w:hAnsi="宋体" w:cs="宋体"/>
          <w:b/>
          <w:sz w:val="30"/>
          <w:szCs w:val="30"/>
        </w:rPr>
      </w:pPr>
      <w:r>
        <w:rPr>
          <w:rFonts w:hint="eastAsia" w:ascii="宋体" w:hAnsi="宋体" w:cs="宋体"/>
          <w:b/>
          <w:sz w:val="30"/>
          <w:szCs w:val="30"/>
          <w:lang w:eastAsia="zh-Hans"/>
        </w:rPr>
        <w:t>四川省成都市第七中学初中学校</w:t>
      </w:r>
      <w:r>
        <w:rPr>
          <w:rFonts w:hint="eastAsia" w:ascii="宋体" w:hAnsi="宋体" w:cs="宋体"/>
          <w:b/>
          <w:sz w:val="30"/>
          <w:szCs w:val="30"/>
        </w:rPr>
        <w:t xml:space="preserve"> 编制</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202</w:t>
      </w:r>
      <w:r>
        <w:rPr>
          <w:rFonts w:ascii="宋体" w:hAnsi="宋体" w:cs="宋体"/>
          <w:b/>
          <w:sz w:val="32"/>
          <w:szCs w:val="32"/>
        </w:rPr>
        <w:t>2</w:t>
      </w:r>
      <w:r>
        <w:rPr>
          <w:rFonts w:hint="eastAsia" w:ascii="宋体" w:hAnsi="宋体" w:cs="宋体"/>
          <w:b/>
          <w:sz w:val="32"/>
          <w:szCs w:val="32"/>
        </w:rPr>
        <w:t>年</w:t>
      </w:r>
      <w:r>
        <w:rPr>
          <w:rFonts w:ascii="宋体" w:hAnsi="宋体" w:cs="宋体"/>
          <w:b/>
          <w:sz w:val="32"/>
          <w:szCs w:val="32"/>
        </w:rPr>
        <w:t>4</w:t>
      </w:r>
      <w:r>
        <w:rPr>
          <w:rFonts w:hint="eastAsia" w:ascii="宋体" w:hAnsi="宋体" w:cs="宋体"/>
          <w:b/>
          <w:sz w:val="32"/>
          <w:szCs w:val="32"/>
        </w:rPr>
        <w:t>月</w:t>
      </w:r>
    </w:p>
    <w:p>
      <w:pPr>
        <w:autoSpaceDE w:val="0"/>
        <w:autoSpaceDN w:val="0"/>
        <w:adjustRightInd w:val="0"/>
        <w:spacing w:line="360" w:lineRule="auto"/>
        <w:jc w:val="center"/>
        <w:rPr>
          <w:rFonts w:ascii="宋体" w:hAnsi="宋体" w:cs="宋体"/>
          <w:kern w:val="0"/>
          <w:sz w:val="32"/>
          <w:szCs w:val="32"/>
          <w:lang w:val="zh-CN"/>
        </w:rPr>
      </w:pPr>
    </w:p>
    <w:p>
      <w:pPr>
        <w:pStyle w:val="24"/>
        <w:rPr>
          <w:rFonts w:ascii="宋体" w:hAnsi="宋体" w:cs="宋体"/>
          <w:lang w:val="zh-CN"/>
        </w:rPr>
      </w:pPr>
    </w:p>
    <w:p>
      <w:pPr>
        <w:autoSpaceDE w:val="0"/>
        <w:autoSpaceDN w:val="0"/>
        <w:adjustRightInd w:val="0"/>
        <w:spacing w:line="360" w:lineRule="auto"/>
        <w:jc w:val="center"/>
        <w:rPr>
          <w:rFonts w:ascii="宋体" w:hAnsi="宋体" w:cs="宋体"/>
          <w:kern w:val="0"/>
          <w:sz w:val="32"/>
          <w:szCs w:val="32"/>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jc w:val="center"/>
        <w:rPr>
          <w:rFonts w:ascii="宋体" w:hAnsi="宋体" w:cs="宋体"/>
          <w:sz w:val="28"/>
          <w:szCs w:val="28"/>
        </w:rPr>
      </w:pPr>
      <w:r>
        <w:rPr>
          <w:rFonts w:hint="eastAsia" w:ascii="宋体" w:hAnsi="宋体" w:cs="宋体"/>
          <w:sz w:val="28"/>
          <w:szCs w:val="28"/>
        </w:rPr>
        <w:t>目录</w:t>
      </w:r>
    </w:p>
    <w:p>
      <w:pPr>
        <w:pStyle w:val="74"/>
        <w:tabs>
          <w:tab w:val="right" w:leader="dot" w:pos="8312"/>
        </w:tabs>
        <w:rPr>
          <w:rFonts w:ascii="宋体" w:hAnsi="宋体" w:cs="宋体"/>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TOC \o "1-1" \h \u </w:instrText>
      </w:r>
      <w:r>
        <w:rPr>
          <w:rFonts w:hint="eastAsia" w:ascii="宋体" w:hAnsi="宋体" w:cs="宋体"/>
          <w:b/>
          <w:sz w:val="28"/>
          <w:szCs w:val="28"/>
        </w:rPr>
        <w:fldChar w:fldCharType="separate"/>
      </w:r>
      <w:r>
        <w:fldChar w:fldCharType="begin"/>
      </w:r>
      <w:r>
        <w:instrText xml:space="preserve"> HYPERLINK \l "_Toc2554" </w:instrText>
      </w:r>
      <w:r>
        <w:fldChar w:fldCharType="separate"/>
      </w:r>
      <w:r>
        <w:rPr>
          <w:rFonts w:hint="eastAsia" w:ascii="宋体" w:hAnsi="宋体" w:cs="宋体"/>
          <w:sz w:val="28"/>
          <w:szCs w:val="28"/>
        </w:rPr>
        <w:t>第一部分 比选邀请函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_Toc2554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74"/>
        <w:tabs>
          <w:tab w:val="right" w:leader="dot" w:pos="8312"/>
        </w:tabs>
        <w:rPr>
          <w:rFonts w:ascii="宋体" w:hAnsi="宋体" w:cs="宋体"/>
          <w:sz w:val="28"/>
          <w:szCs w:val="28"/>
        </w:rPr>
      </w:pPr>
      <w:r>
        <w:fldChar w:fldCharType="begin"/>
      </w:r>
      <w:r>
        <w:instrText xml:space="preserve"> HYPERLINK \l "_Toc27811" </w:instrText>
      </w:r>
      <w:r>
        <w:fldChar w:fldCharType="separate"/>
      </w:r>
      <w:r>
        <w:rPr>
          <w:rFonts w:hint="eastAsia" w:ascii="宋体" w:hAnsi="宋体" w:cs="宋体"/>
          <w:sz w:val="28"/>
          <w:szCs w:val="28"/>
          <w:lang w:val="zh-CN"/>
        </w:rPr>
        <w:t xml:space="preserve">第二部分 </w:t>
      </w:r>
      <w:r>
        <w:rPr>
          <w:rFonts w:hint="eastAsia" w:ascii="宋体" w:hAnsi="宋体" w:cs="宋体"/>
          <w:sz w:val="28"/>
          <w:szCs w:val="28"/>
        </w:rPr>
        <w:t>比选申请人须知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_Toc27811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74"/>
        <w:tabs>
          <w:tab w:val="right" w:leader="dot" w:pos="8312"/>
        </w:tabs>
        <w:rPr>
          <w:rFonts w:ascii="宋体" w:hAnsi="宋体" w:cs="宋体"/>
          <w:sz w:val="28"/>
          <w:szCs w:val="28"/>
        </w:rPr>
      </w:pPr>
      <w:r>
        <w:fldChar w:fldCharType="begin"/>
      </w:r>
      <w:r>
        <w:instrText xml:space="preserve"> HYPERLINK \l "_Toc7623" </w:instrText>
      </w:r>
      <w:r>
        <w:fldChar w:fldCharType="separate"/>
      </w:r>
      <w:r>
        <w:rPr>
          <w:rFonts w:hint="eastAsia" w:ascii="宋体" w:hAnsi="宋体" w:cs="宋体"/>
          <w:sz w:val="28"/>
          <w:szCs w:val="28"/>
        </w:rPr>
        <w:t>第三部分 技术、服务、商务及其他要求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_Toc7623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74"/>
        <w:tabs>
          <w:tab w:val="right" w:leader="dot" w:pos="8312"/>
        </w:tabs>
        <w:rPr>
          <w:rFonts w:ascii="宋体" w:hAnsi="宋体" w:cs="宋体"/>
          <w:sz w:val="28"/>
          <w:szCs w:val="28"/>
        </w:rPr>
      </w:pPr>
      <w:r>
        <w:fldChar w:fldCharType="begin"/>
      </w:r>
      <w:r>
        <w:instrText xml:space="preserve"> HYPERLINK \l "_Toc19366" </w:instrText>
      </w:r>
      <w:r>
        <w:fldChar w:fldCharType="separate"/>
      </w:r>
      <w:r>
        <w:rPr>
          <w:rFonts w:hint="eastAsia" w:ascii="宋体" w:hAnsi="宋体" w:cs="宋体"/>
          <w:sz w:val="28"/>
          <w:szCs w:val="28"/>
        </w:rPr>
        <w:t>第四部分 评比办法及评比标准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_Toc19366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fldChar w:fldCharType="end"/>
      </w:r>
    </w:p>
    <w:p>
      <w:pPr>
        <w:pStyle w:val="74"/>
        <w:tabs>
          <w:tab w:val="right" w:leader="dot" w:pos="8312"/>
        </w:tabs>
        <w:rPr>
          <w:rFonts w:ascii="宋体" w:hAnsi="宋体" w:cs="宋体"/>
          <w:sz w:val="28"/>
          <w:szCs w:val="28"/>
        </w:rPr>
      </w:pPr>
      <w:r>
        <w:fldChar w:fldCharType="begin"/>
      </w:r>
      <w:r>
        <w:instrText xml:space="preserve"> HYPERLINK \l "_Toc6335" </w:instrText>
      </w:r>
      <w:r>
        <w:fldChar w:fldCharType="separate"/>
      </w:r>
      <w:r>
        <w:rPr>
          <w:rFonts w:hint="eastAsia" w:ascii="宋体" w:hAnsi="宋体" w:cs="宋体"/>
          <w:sz w:val="28"/>
          <w:szCs w:val="28"/>
        </w:rPr>
        <w:t xml:space="preserve">第五部分 </w:t>
      </w:r>
      <w:r>
        <w:rPr>
          <w:rFonts w:hint="eastAsia" w:ascii="宋体" w:hAnsi="宋体" w:cs="宋体"/>
          <w:bCs/>
          <w:sz w:val="28"/>
          <w:szCs w:val="28"/>
          <w:lang w:val="zh-CN"/>
        </w:rPr>
        <w:t>比选申请书格式及要求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_Toc6335 </w:instrText>
      </w:r>
      <w:r>
        <w:rPr>
          <w:rFonts w:hint="eastAsia" w:ascii="宋体" w:hAnsi="宋体" w:cs="宋体"/>
          <w:sz w:val="28"/>
          <w:szCs w:val="28"/>
        </w:rPr>
        <w:fldChar w:fldCharType="separate"/>
      </w:r>
      <w:r>
        <w:rPr>
          <w:rFonts w:hint="eastAsia"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fldChar w:fldCharType="end"/>
      </w:r>
    </w:p>
    <w:p>
      <w:pPr>
        <w:pStyle w:val="74"/>
        <w:tabs>
          <w:tab w:val="right" w:leader="dot" w:pos="8312"/>
        </w:tabs>
        <w:rPr>
          <w:rFonts w:ascii="宋体" w:hAnsi="宋体" w:cs="宋体"/>
          <w:sz w:val="28"/>
          <w:szCs w:val="28"/>
        </w:rPr>
      </w:pPr>
      <w:r>
        <w:fldChar w:fldCharType="begin"/>
      </w:r>
      <w:r>
        <w:instrText xml:space="preserve"> HYPERLINK \l "_Toc26628" </w:instrText>
      </w:r>
      <w:r>
        <w:fldChar w:fldCharType="separate"/>
      </w:r>
      <w:r>
        <w:rPr>
          <w:rFonts w:hint="eastAsia" w:ascii="宋体" w:hAnsi="宋体" w:cs="宋体"/>
          <w:sz w:val="28"/>
          <w:szCs w:val="28"/>
        </w:rPr>
        <w:t>第六部分 合同主要条款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_Toc26628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fldChar w:fldCharType="end"/>
      </w:r>
    </w:p>
    <w:p>
      <w:pPr>
        <w:spacing w:line="360" w:lineRule="auto"/>
        <w:jc w:val="center"/>
        <w:rPr>
          <w:rFonts w:ascii="宋体" w:hAnsi="宋体" w:cs="宋体"/>
          <w:b/>
          <w:sz w:val="32"/>
          <w:szCs w:val="32"/>
        </w:rPr>
        <w:sectPr>
          <w:headerReference r:id="rId4" w:type="first"/>
          <w:headerReference r:id="rId3" w:type="default"/>
          <w:pgSz w:w="11906" w:h="16838"/>
          <w:pgMar w:top="907" w:right="1797" w:bottom="680" w:left="1797" w:header="851" w:footer="992" w:gutter="0"/>
          <w:cols w:space="720" w:num="1"/>
          <w:titlePg/>
          <w:docGrid w:type="lines" w:linePitch="312" w:charSpace="0"/>
        </w:sectPr>
      </w:pPr>
      <w:r>
        <w:rPr>
          <w:rFonts w:hint="eastAsia" w:ascii="宋体" w:hAnsi="宋体" w:cs="宋体"/>
          <w:sz w:val="28"/>
          <w:szCs w:val="28"/>
        </w:rPr>
        <w:fldChar w:fldCharType="end"/>
      </w:r>
    </w:p>
    <w:p>
      <w:pPr>
        <w:spacing w:line="360" w:lineRule="auto"/>
        <w:jc w:val="center"/>
        <w:outlineLvl w:val="0"/>
        <w:rPr>
          <w:rFonts w:ascii="宋体" w:hAnsi="宋体" w:cs="宋体"/>
          <w:b/>
          <w:sz w:val="32"/>
          <w:szCs w:val="32"/>
        </w:rPr>
      </w:pPr>
      <w:bookmarkStart w:id="0" w:name="_Toc2554"/>
      <w:bookmarkStart w:id="1" w:name="_Toc24829_WPSOffice_Level1"/>
      <w:r>
        <w:rPr>
          <w:rFonts w:hint="eastAsia" w:ascii="宋体" w:hAnsi="宋体" w:cs="宋体"/>
          <w:b/>
          <w:sz w:val="32"/>
          <w:szCs w:val="32"/>
        </w:rPr>
        <w:t>第一部分 比选邀请函</w:t>
      </w:r>
      <w:bookmarkEnd w:id="0"/>
      <w:bookmarkEnd w:id="1"/>
    </w:p>
    <w:p>
      <w:pPr>
        <w:spacing w:line="360" w:lineRule="auto"/>
        <w:ind w:firstLine="480" w:firstLineChars="200"/>
        <w:rPr>
          <w:rFonts w:ascii="宋体" w:hAnsi="宋体" w:cs="宋体"/>
          <w:sz w:val="24"/>
        </w:rPr>
      </w:pPr>
      <w:r>
        <w:rPr>
          <w:rFonts w:hint="eastAsia" w:ascii="宋体" w:hAnsi="宋体" w:cs="宋体"/>
          <w:sz w:val="24"/>
          <w:u w:val="single"/>
          <w:lang w:eastAsia="zh-Hans"/>
        </w:rPr>
        <w:t>四川省成都市第七中学初中学校</w:t>
      </w:r>
      <w:r>
        <w:rPr>
          <w:rFonts w:hint="eastAsia" w:ascii="宋体" w:hAnsi="宋体" w:cs="宋体"/>
          <w:sz w:val="24"/>
          <w:u w:val="single"/>
        </w:rPr>
        <w:t xml:space="preserve"> </w:t>
      </w:r>
      <w:r>
        <w:rPr>
          <w:rFonts w:hint="eastAsia" w:ascii="宋体" w:hAnsi="宋体" w:cs="宋体"/>
          <w:sz w:val="24"/>
        </w:rPr>
        <w:t>对“</w:t>
      </w:r>
      <w:r>
        <w:rPr>
          <w:rFonts w:hint="eastAsia" w:ascii="宋体" w:hAnsi="宋体" w:cs="宋体"/>
          <w:sz w:val="24"/>
          <w:u w:val="single"/>
          <w:lang w:eastAsia="zh-Hans"/>
        </w:rPr>
        <w:t>成都七中初中学校</w:t>
      </w:r>
      <w:r>
        <w:rPr>
          <w:rFonts w:hint="eastAsia" w:ascii="宋体" w:hAnsi="宋体" w:cs="宋体"/>
          <w:sz w:val="24"/>
          <w:u w:val="single"/>
        </w:rPr>
        <w:t>直录播教室设备采购项目</w:t>
      </w:r>
      <w:r>
        <w:rPr>
          <w:rFonts w:hint="eastAsia" w:ascii="宋体" w:hAnsi="宋体" w:cs="宋体"/>
          <w:sz w:val="24"/>
        </w:rPr>
        <w:t>”进行比选，兹邀请符合要求的比选申请人就本项目提交密封的比选申请文件。</w:t>
      </w:r>
    </w:p>
    <w:p>
      <w:pPr>
        <w:spacing w:line="360" w:lineRule="auto"/>
        <w:ind w:firstLine="480" w:firstLineChars="200"/>
        <w:rPr>
          <w:rFonts w:ascii="宋体" w:hAnsi="宋体" w:cs="宋体"/>
          <w:b/>
          <w:sz w:val="24"/>
        </w:rPr>
      </w:pPr>
      <w:r>
        <w:rPr>
          <w:rFonts w:hint="eastAsia" w:ascii="宋体" w:hAnsi="宋体" w:cs="宋体"/>
          <w:b/>
          <w:sz w:val="24"/>
        </w:rPr>
        <w:t>一、项目名称：</w:t>
      </w:r>
      <w:r>
        <w:rPr>
          <w:rFonts w:hint="eastAsia" w:ascii="宋体" w:hAnsi="宋体" w:cs="宋体"/>
          <w:b/>
          <w:sz w:val="24"/>
          <w:lang w:eastAsia="zh-Hans"/>
        </w:rPr>
        <w:t>成都七中初中学校</w:t>
      </w:r>
      <w:r>
        <w:rPr>
          <w:rFonts w:hint="eastAsia" w:ascii="宋体" w:hAnsi="宋体" w:cs="宋体"/>
          <w:b/>
          <w:sz w:val="24"/>
        </w:rPr>
        <w:t>直录播教室设备采购项目</w:t>
      </w:r>
    </w:p>
    <w:p>
      <w:pPr>
        <w:spacing w:line="360" w:lineRule="auto"/>
        <w:ind w:firstLine="480" w:firstLineChars="200"/>
        <w:rPr>
          <w:rFonts w:ascii="宋体" w:hAnsi="宋体" w:cs="宋体"/>
          <w:b/>
          <w:sz w:val="24"/>
        </w:rPr>
      </w:pPr>
      <w:r>
        <w:rPr>
          <w:rFonts w:hint="eastAsia" w:ascii="宋体" w:hAnsi="宋体" w:cs="宋体"/>
          <w:b/>
          <w:sz w:val="24"/>
          <w:lang w:eastAsia="zh-Hans"/>
        </w:rPr>
        <w:t>二</w:t>
      </w:r>
      <w:r>
        <w:rPr>
          <w:rFonts w:hint="eastAsia" w:ascii="宋体" w:hAnsi="宋体" w:cs="宋体"/>
          <w:b/>
          <w:sz w:val="24"/>
        </w:rPr>
        <w:t>、资金情况</w:t>
      </w:r>
    </w:p>
    <w:p>
      <w:pPr>
        <w:spacing w:line="360" w:lineRule="auto"/>
        <w:ind w:firstLine="1051" w:firstLineChars="500"/>
        <w:rPr>
          <w:rFonts w:ascii="宋体" w:hAnsi="宋体" w:cs="宋体"/>
          <w:b/>
          <w:szCs w:val="21"/>
        </w:rPr>
      </w:pPr>
      <w:r>
        <w:rPr>
          <w:rFonts w:hint="eastAsia" w:ascii="宋体" w:hAnsi="宋体" w:cs="宋体"/>
          <w:b/>
          <w:szCs w:val="21"/>
        </w:rPr>
        <w:t>1.预算金额：</w:t>
      </w:r>
      <w:r>
        <w:rPr>
          <w:rFonts w:hint="eastAsia" w:ascii="宋体" w:hAnsi="宋体" w:cs="宋体"/>
          <w:b/>
          <w:szCs w:val="21"/>
          <w:lang w:val="en-US" w:eastAsia="zh-CN"/>
        </w:rPr>
        <w:t>15</w:t>
      </w:r>
      <w:r>
        <w:rPr>
          <w:rFonts w:hint="eastAsia" w:ascii="宋体" w:hAnsi="宋体" w:cs="宋体"/>
          <w:b/>
          <w:szCs w:val="21"/>
        </w:rPr>
        <w:t>万元</w:t>
      </w:r>
    </w:p>
    <w:p>
      <w:pPr>
        <w:pStyle w:val="16"/>
        <w:ind w:firstLine="1051" w:firstLineChars="500"/>
        <w:rPr>
          <w:rFonts w:ascii="宋体" w:hAnsi="宋体" w:cs="宋体"/>
        </w:rPr>
      </w:pPr>
      <w:r>
        <w:rPr>
          <w:rFonts w:hint="eastAsia" w:ascii="宋体" w:hAnsi="宋体" w:cs="宋体"/>
          <w:b/>
        </w:rPr>
        <w:t>2.最高限价：</w:t>
      </w:r>
      <w:r>
        <w:rPr>
          <w:rFonts w:hint="eastAsia" w:ascii="宋体" w:hAnsi="宋体" w:cs="宋体"/>
          <w:b/>
          <w:lang w:val="en-US" w:eastAsia="zh-CN"/>
        </w:rPr>
        <w:t>15</w:t>
      </w:r>
      <w:r>
        <w:rPr>
          <w:rFonts w:hint="eastAsia" w:ascii="宋体" w:hAnsi="宋体" w:cs="宋体"/>
          <w:b/>
        </w:rPr>
        <w:t>万元</w:t>
      </w:r>
    </w:p>
    <w:p>
      <w:pPr>
        <w:spacing w:line="360" w:lineRule="auto"/>
        <w:ind w:firstLine="480" w:firstLineChars="200"/>
        <w:rPr>
          <w:rFonts w:ascii="宋体" w:hAnsi="宋体" w:cs="宋体"/>
          <w:b/>
          <w:sz w:val="24"/>
        </w:rPr>
      </w:pPr>
      <w:r>
        <w:rPr>
          <w:rFonts w:hint="eastAsia" w:ascii="宋体" w:hAnsi="宋体" w:cs="宋体"/>
          <w:b/>
          <w:sz w:val="24"/>
          <w:lang w:eastAsia="zh-Hans"/>
        </w:rPr>
        <w:t>三</w:t>
      </w:r>
      <w:r>
        <w:rPr>
          <w:rFonts w:hint="eastAsia" w:ascii="宋体" w:hAnsi="宋体" w:cs="宋体"/>
          <w:b/>
          <w:sz w:val="24"/>
        </w:rPr>
        <w:t>、比选内容</w:t>
      </w:r>
    </w:p>
    <w:p>
      <w:pPr>
        <w:spacing w:line="360" w:lineRule="auto"/>
        <w:ind w:firstLine="480" w:firstLineChars="200"/>
        <w:rPr>
          <w:rFonts w:ascii="宋体" w:hAnsi="宋体" w:cs="宋体"/>
          <w:sz w:val="24"/>
        </w:rPr>
      </w:pPr>
      <w:r>
        <w:rPr>
          <w:rFonts w:hint="eastAsia" w:ascii="宋体" w:hAnsi="宋体" w:cs="宋体"/>
          <w:sz w:val="24"/>
        </w:rPr>
        <w:t>（一）项目概况</w:t>
      </w:r>
    </w:p>
    <w:p>
      <w:pPr>
        <w:spacing w:line="360" w:lineRule="auto"/>
        <w:ind w:firstLine="480" w:firstLineChars="200"/>
        <w:rPr>
          <w:rFonts w:ascii="宋体" w:hAnsi="宋体" w:cs="宋体"/>
          <w:sz w:val="24"/>
        </w:rPr>
      </w:pPr>
      <w:r>
        <w:rPr>
          <w:rFonts w:hint="eastAsia" w:ascii="宋体" w:hAnsi="宋体" w:cs="宋体"/>
          <w:sz w:val="24"/>
        </w:rPr>
        <w:t>比选内容为：</w:t>
      </w:r>
      <w:r>
        <w:rPr>
          <w:rFonts w:hint="eastAsia" w:ascii="宋体" w:hAnsi="宋体" w:cs="宋体"/>
          <w:sz w:val="24"/>
          <w:u w:val="single"/>
          <w:lang w:eastAsia="zh-Hans"/>
        </w:rPr>
        <w:t>成都七中初中学校</w:t>
      </w:r>
      <w:r>
        <w:rPr>
          <w:rFonts w:hint="eastAsia" w:ascii="宋体" w:hAnsi="宋体" w:cs="宋体"/>
          <w:bCs/>
          <w:sz w:val="24"/>
          <w:u w:val="single"/>
        </w:rPr>
        <w:t>直录播教室设备采购项目</w:t>
      </w:r>
    </w:p>
    <w:p>
      <w:pPr>
        <w:spacing w:line="360" w:lineRule="auto"/>
        <w:ind w:firstLine="480" w:firstLineChars="200"/>
        <w:rPr>
          <w:rFonts w:ascii="宋体" w:hAnsi="宋体" w:cs="宋体"/>
          <w:sz w:val="24"/>
        </w:rPr>
      </w:pPr>
      <w:r>
        <w:rPr>
          <w:rFonts w:hint="eastAsia" w:ascii="宋体" w:hAnsi="宋体" w:cs="宋体"/>
          <w:sz w:val="24"/>
        </w:rPr>
        <w:t>（二）比选申请人符合参加本次比选活动应当具备的条件:</w:t>
      </w:r>
    </w:p>
    <w:p>
      <w:pPr>
        <w:spacing w:line="560" w:lineRule="exact"/>
        <w:ind w:firstLine="480"/>
        <w:rPr>
          <w:rFonts w:ascii="宋体" w:hAnsi="宋体" w:cs="宋体"/>
          <w:sz w:val="24"/>
        </w:rPr>
      </w:pPr>
      <w:r>
        <w:rPr>
          <w:rFonts w:hint="eastAsia" w:ascii="宋体" w:hAnsi="宋体" w:cs="宋体"/>
          <w:sz w:val="24"/>
        </w:rPr>
        <w:t>1、具备以下条件：</w:t>
      </w:r>
    </w:p>
    <w:p>
      <w:pPr>
        <w:spacing w:line="560" w:lineRule="exact"/>
        <w:ind w:firstLine="480"/>
        <w:rPr>
          <w:rFonts w:ascii="宋体" w:hAnsi="宋体" w:cs="宋体"/>
          <w:sz w:val="24"/>
        </w:rPr>
      </w:pPr>
      <w:r>
        <w:rPr>
          <w:rFonts w:hint="eastAsia" w:ascii="宋体" w:hAnsi="宋体" w:cs="宋体"/>
          <w:sz w:val="24"/>
        </w:rPr>
        <w:t>1.1具有独立承担民事责任的能力；</w:t>
      </w:r>
    </w:p>
    <w:p>
      <w:pPr>
        <w:spacing w:line="560" w:lineRule="exact"/>
        <w:ind w:firstLine="480"/>
        <w:rPr>
          <w:rFonts w:ascii="宋体" w:hAnsi="宋体" w:cs="宋体"/>
          <w:sz w:val="24"/>
        </w:rPr>
      </w:pPr>
      <w:r>
        <w:rPr>
          <w:rFonts w:hint="eastAsia" w:ascii="宋体" w:hAnsi="宋体" w:cs="宋体"/>
          <w:sz w:val="24"/>
        </w:rPr>
        <w:t>1.2具有良好的商业信誉和健全的财务会计制度；</w:t>
      </w:r>
    </w:p>
    <w:p>
      <w:pPr>
        <w:spacing w:line="560" w:lineRule="exact"/>
        <w:ind w:firstLine="480"/>
        <w:rPr>
          <w:rFonts w:ascii="宋体" w:hAnsi="宋体" w:cs="宋体"/>
          <w:sz w:val="24"/>
        </w:rPr>
      </w:pPr>
      <w:r>
        <w:rPr>
          <w:rFonts w:hint="eastAsia" w:ascii="宋体" w:hAnsi="宋体" w:cs="宋体"/>
          <w:sz w:val="24"/>
        </w:rPr>
        <w:t>1.3具有履行合同所必须的设备和专业技术能力；</w:t>
      </w:r>
    </w:p>
    <w:p>
      <w:pPr>
        <w:spacing w:line="560" w:lineRule="exact"/>
        <w:ind w:firstLine="480"/>
        <w:rPr>
          <w:rFonts w:ascii="宋体" w:hAnsi="宋体" w:cs="宋体"/>
          <w:sz w:val="24"/>
        </w:rPr>
      </w:pPr>
      <w:r>
        <w:rPr>
          <w:rFonts w:hint="eastAsia" w:ascii="宋体" w:hAnsi="宋体" w:cs="宋体"/>
          <w:sz w:val="24"/>
        </w:rPr>
        <w:t>1.4具有依法缴纳税收和社会保障比选申请人资金的良好记录；</w:t>
      </w:r>
    </w:p>
    <w:p>
      <w:pPr>
        <w:spacing w:line="560" w:lineRule="exact"/>
        <w:ind w:firstLine="480"/>
        <w:rPr>
          <w:rFonts w:ascii="宋体" w:hAnsi="宋体" w:cs="宋体"/>
          <w:sz w:val="24"/>
        </w:rPr>
      </w:pPr>
      <w:r>
        <w:rPr>
          <w:rFonts w:hint="eastAsia" w:ascii="宋体" w:hAnsi="宋体" w:cs="宋体"/>
          <w:sz w:val="24"/>
        </w:rPr>
        <w:t>1.5参加本次政府采购活动前三年内，在经营活动中没有重大违法记录；</w:t>
      </w:r>
    </w:p>
    <w:p>
      <w:pPr>
        <w:spacing w:line="560" w:lineRule="exact"/>
        <w:ind w:firstLine="480"/>
        <w:rPr>
          <w:rFonts w:ascii="宋体" w:hAnsi="宋体" w:cs="宋体"/>
          <w:sz w:val="24"/>
        </w:rPr>
      </w:pPr>
      <w:r>
        <w:rPr>
          <w:rFonts w:hint="eastAsia" w:ascii="宋体" w:hAnsi="宋体" w:cs="宋体"/>
          <w:sz w:val="24"/>
        </w:rPr>
        <w:t>1.6法律、行政法规规定的其他条件；</w:t>
      </w:r>
    </w:p>
    <w:p>
      <w:pPr>
        <w:spacing w:line="560" w:lineRule="exact"/>
        <w:ind w:firstLine="480"/>
        <w:rPr>
          <w:rFonts w:ascii="宋体" w:hAnsi="宋体" w:cs="宋体"/>
          <w:sz w:val="24"/>
        </w:rPr>
      </w:pPr>
      <w:r>
        <w:rPr>
          <w:rFonts w:hint="eastAsia" w:ascii="宋体" w:hAnsi="宋体" w:cs="宋体"/>
          <w:sz w:val="24"/>
        </w:rPr>
        <w:t>2、本项目不接受联合体比选。</w:t>
      </w:r>
    </w:p>
    <w:p>
      <w:pPr>
        <w:spacing w:line="360" w:lineRule="auto"/>
        <w:ind w:firstLine="480" w:firstLineChars="200"/>
        <w:rPr>
          <w:rFonts w:ascii="宋体" w:hAnsi="宋体" w:cs="宋体"/>
          <w:b/>
          <w:sz w:val="24"/>
        </w:rPr>
      </w:pPr>
      <w:r>
        <w:rPr>
          <w:rFonts w:hint="eastAsia" w:ascii="宋体" w:hAnsi="宋体" w:cs="宋体"/>
          <w:b/>
          <w:sz w:val="24"/>
          <w:lang w:eastAsia="zh-Hans"/>
        </w:rPr>
        <w:t>四</w:t>
      </w:r>
      <w:r>
        <w:rPr>
          <w:rFonts w:hint="eastAsia" w:ascii="宋体" w:hAnsi="宋体" w:cs="宋体"/>
          <w:b/>
          <w:sz w:val="24"/>
        </w:rPr>
        <w:t>、比选文件报名时间及方式：</w:t>
      </w:r>
    </w:p>
    <w:p>
      <w:pPr>
        <w:spacing w:line="360" w:lineRule="auto"/>
        <w:ind w:firstLine="480" w:firstLineChars="200"/>
        <w:rPr>
          <w:rFonts w:ascii="宋体" w:hAnsi="宋体" w:cs="宋体"/>
          <w:sz w:val="24"/>
        </w:rPr>
      </w:pPr>
      <w:r>
        <w:rPr>
          <w:rFonts w:hint="eastAsia" w:ascii="宋体" w:hAnsi="宋体" w:cs="宋体"/>
          <w:sz w:val="24"/>
        </w:rPr>
        <w:t>本项目比选公告自</w:t>
      </w:r>
      <w:r>
        <w:rPr>
          <w:rFonts w:ascii="宋体" w:hAnsi="宋体" w:cs="宋体"/>
          <w:sz w:val="24"/>
        </w:rPr>
        <w:t>2</w:t>
      </w:r>
      <w:r>
        <w:rPr>
          <w:rFonts w:ascii="宋体" w:hAnsi="宋体" w:cs="宋体"/>
          <w:sz w:val="24"/>
          <w:highlight w:val="none"/>
          <w:shd w:val="clear" w:color="auto" w:fill="auto"/>
        </w:rPr>
        <w:t>022</w:t>
      </w:r>
      <w:r>
        <w:rPr>
          <w:rFonts w:hint="eastAsia" w:ascii="宋体" w:hAnsi="宋体" w:cs="宋体"/>
          <w:sz w:val="24"/>
          <w:highlight w:val="none"/>
          <w:shd w:val="clear" w:color="auto" w:fill="auto"/>
          <w:lang w:eastAsia="zh-Hans"/>
        </w:rPr>
        <w:t>年</w:t>
      </w:r>
      <w:r>
        <w:rPr>
          <w:rFonts w:ascii="宋体" w:hAnsi="宋体" w:cs="宋体"/>
          <w:sz w:val="24"/>
          <w:highlight w:val="none"/>
          <w:shd w:val="clear" w:color="auto" w:fill="auto"/>
          <w:lang w:eastAsia="zh-Hans"/>
        </w:rPr>
        <w:t>4</w:t>
      </w:r>
      <w:r>
        <w:rPr>
          <w:rFonts w:hint="eastAsia" w:ascii="宋体" w:hAnsi="宋体" w:cs="宋体"/>
          <w:sz w:val="24"/>
          <w:highlight w:val="none"/>
          <w:shd w:val="clear" w:color="auto" w:fill="auto"/>
          <w:lang w:eastAsia="zh-Hans"/>
        </w:rPr>
        <w:t>月</w:t>
      </w:r>
      <w:r>
        <w:rPr>
          <w:rFonts w:hint="default" w:ascii="宋体" w:hAnsi="宋体" w:cs="宋体"/>
          <w:sz w:val="24"/>
          <w:highlight w:val="none"/>
          <w:shd w:val="clear" w:color="auto" w:fill="auto"/>
          <w:lang w:eastAsia="zh-Hans"/>
        </w:rPr>
        <w:t>11</w:t>
      </w:r>
      <w:r>
        <w:rPr>
          <w:rFonts w:hint="eastAsia" w:ascii="宋体" w:hAnsi="宋体" w:cs="宋体"/>
          <w:sz w:val="24"/>
          <w:highlight w:val="none"/>
          <w:shd w:val="clear" w:color="auto" w:fill="auto"/>
          <w:lang w:eastAsia="zh-Hans"/>
        </w:rPr>
        <w:t>日</w:t>
      </w:r>
      <w:r>
        <w:rPr>
          <w:rFonts w:ascii="宋体" w:hAnsi="宋体" w:cs="宋体"/>
          <w:sz w:val="24"/>
          <w:highlight w:val="none"/>
          <w:shd w:val="clear" w:color="auto" w:fill="auto"/>
          <w:lang w:eastAsia="zh-Hans"/>
        </w:rPr>
        <w:t>-2022</w:t>
      </w:r>
      <w:r>
        <w:rPr>
          <w:rFonts w:hint="eastAsia" w:ascii="宋体" w:hAnsi="宋体" w:cs="宋体"/>
          <w:sz w:val="24"/>
          <w:highlight w:val="none"/>
          <w:shd w:val="clear" w:color="auto" w:fill="auto"/>
          <w:lang w:eastAsia="zh-Hans"/>
        </w:rPr>
        <w:t>年</w:t>
      </w:r>
      <w:r>
        <w:rPr>
          <w:rFonts w:ascii="宋体" w:hAnsi="宋体" w:cs="宋体"/>
          <w:sz w:val="24"/>
          <w:highlight w:val="none"/>
          <w:shd w:val="clear" w:color="auto" w:fill="auto"/>
          <w:lang w:eastAsia="zh-Hans"/>
        </w:rPr>
        <w:t>4</w:t>
      </w:r>
      <w:r>
        <w:rPr>
          <w:rFonts w:hint="eastAsia" w:ascii="宋体" w:hAnsi="宋体" w:cs="宋体"/>
          <w:sz w:val="24"/>
          <w:highlight w:val="none"/>
          <w:shd w:val="clear" w:color="auto" w:fill="auto"/>
          <w:lang w:eastAsia="zh-Hans"/>
        </w:rPr>
        <w:t>月</w:t>
      </w:r>
      <w:r>
        <w:rPr>
          <w:rFonts w:hint="default" w:ascii="宋体" w:hAnsi="宋体" w:cs="宋体"/>
          <w:sz w:val="24"/>
          <w:highlight w:val="none"/>
          <w:shd w:val="clear" w:color="auto" w:fill="auto"/>
          <w:lang w:eastAsia="zh-Hans"/>
        </w:rPr>
        <w:t>18</w:t>
      </w:r>
      <w:r>
        <w:rPr>
          <w:rFonts w:hint="eastAsia" w:ascii="宋体" w:hAnsi="宋体" w:cs="宋体"/>
          <w:sz w:val="24"/>
          <w:highlight w:val="none"/>
          <w:shd w:val="clear" w:color="auto" w:fill="auto"/>
          <w:lang w:eastAsia="zh-Hans"/>
        </w:rPr>
        <w:t>日</w:t>
      </w:r>
      <w:r>
        <w:rPr>
          <w:rFonts w:hint="eastAsia" w:ascii="宋体" w:hAnsi="宋体" w:cs="宋体"/>
          <w:sz w:val="24"/>
          <w:lang w:eastAsia="zh-Hans"/>
        </w:rPr>
        <w:t>在成都七中初中学校官方网站（http://www.cdqzcz.com)上公告</w:t>
      </w:r>
      <w:r>
        <w:rPr>
          <w:rFonts w:hint="eastAsia" w:ascii="宋体" w:hAnsi="宋体" w:cs="宋体"/>
          <w:sz w:val="24"/>
        </w:rPr>
        <w:t>，比选文件作为公告附件，可以自行下载，同时通过网上报名确认报名比选资格（比选资格不能转让）。</w:t>
      </w:r>
    </w:p>
    <w:p>
      <w:pPr>
        <w:pStyle w:val="2"/>
        <w:spacing w:line="360" w:lineRule="auto"/>
        <w:rPr>
          <w:rFonts w:ascii="宋体" w:hAnsi="宋体" w:cs="宋体"/>
          <w:color w:val="auto"/>
        </w:rPr>
      </w:pPr>
      <w:r>
        <w:rPr>
          <w:rFonts w:hint="eastAsia" w:ascii="宋体" w:hAnsi="宋体" w:cs="宋体"/>
          <w:color w:val="auto"/>
        </w:rPr>
        <w:t xml:space="preserve">   提供单位介绍信原件及经办人身份证复印件（均加盖单位公章）资料，扫描发送至采购人指定邮箱</w:t>
      </w:r>
      <w:r>
        <w:rPr>
          <w:rFonts w:hint="eastAsia" w:ascii="宋体" w:hAnsi="宋体" w:cs="宋体"/>
          <w:color w:val="auto"/>
          <w:lang w:eastAsia="zh-Hans"/>
        </w:rPr>
        <w:t>（</w:t>
      </w:r>
      <w:r>
        <w:rPr>
          <w:rFonts w:ascii="宋体" w:hAnsi="宋体" w:cs="宋体"/>
          <w:color w:val="auto"/>
          <w:lang w:eastAsia="zh-Hans"/>
        </w:rPr>
        <w:t>739949014@qq.com</w:t>
      </w:r>
      <w:r>
        <w:rPr>
          <w:rFonts w:hint="eastAsia" w:ascii="宋体" w:hAnsi="宋体" w:cs="宋体"/>
          <w:color w:val="auto"/>
          <w:lang w:eastAsia="zh-Hans"/>
        </w:rPr>
        <w:t>）</w:t>
      </w:r>
      <w:r>
        <w:rPr>
          <w:rFonts w:hint="eastAsia" w:ascii="宋体" w:hAnsi="宋体" w:cs="宋体"/>
          <w:color w:val="auto"/>
        </w:rPr>
        <w:t>，完成报名事宜；</w:t>
      </w:r>
    </w:p>
    <w:p>
      <w:pPr>
        <w:spacing w:line="360" w:lineRule="auto"/>
        <w:ind w:firstLine="480" w:firstLineChars="200"/>
        <w:rPr>
          <w:rFonts w:ascii="宋体" w:hAnsi="宋体" w:cs="宋体"/>
          <w:b/>
          <w:bCs/>
          <w:sz w:val="24"/>
        </w:rPr>
      </w:pPr>
      <w:r>
        <w:rPr>
          <w:rFonts w:hint="eastAsia" w:ascii="宋体" w:hAnsi="宋体" w:cs="宋体"/>
          <w:b/>
          <w:bCs/>
          <w:sz w:val="24"/>
          <w:lang w:eastAsia="zh-Hans"/>
        </w:rPr>
        <w:t>五</w:t>
      </w:r>
      <w:r>
        <w:rPr>
          <w:rFonts w:hint="eastAsia" w:ascii="宋体" w:hAnsi="宋体" w:cs="宋体"/>
          <w:b/>
          <w:bCs/>
          <w:sz w:val="24"/>
        </w:rPr>
        <w:t>、递交比选申请书的截止时间和地点</w:t>
      </w:r>
    </w:p>
    <w:p>
      <w:pPr>
        <w:spacing w:line="360" w:lineRule="auto"/>
        <w:ind w:firstLine="480" w:firstLineChars="200"/>
        <w:rPr>
          <w:rFonts w:ascii="宋体" w:hAnsi="宋体" w:cs="宋体"/>
          <w:sz w:val="24"/>
        </w:rPr>
      </w:pPr>
      <w:r>
        <w:rPr>
          <w:rFonts w:hint="eastAsia" w:ascii="宋体" w:hAnsi="宋体" w:cs="宋体"/>
          <w:sz w:val="24"/>
        </w:rPr>
        <w:t>截止时间为</w:t>
      </w:r>
      <w:r>
        <w:rPr>
          <w:rFonts w:ascii="宋体" w:hAnsi="宋体" w:cs="宋体"/>
          <w:sz w:val="24"/>
        </w:rPr>
        <w:t>2022</w:t>
      </w:r>
      <w:r>
        <w:rPr>
          <w:rFonts w:hint="eastAsia" w:ascii="宋体" w:hAnsi="宋体" w:cs="宋体"/>
          <w:sz w:val="24"/>
          <w:lang w:eastAsia="zh-Hans"/>
        </w:rPr>
        <w:t>年</w:t>
      </w:r>
      <w:r>
        <w:rPr>
          <w:rFonts w:ascii="宋体" w:hAnsi="宋体" w:cs="宋体"/>
          <w:sz w:val="24"/>
          <w:lang w:eastAsia="zh-Hans"/>
        </w:rPr>
        <w:t>4</w:t>
      </w:r>
      <w:r>
        <w:rPr>
          <w:rFonts w:hint="eastAsia" w:ascii="宋体" w:hAnsi="宋体" w:cs="宋体"/>
          <w:sz w:val="24"/>
          <w:lang w:eastAsia="zh-Hans"/>
        </w:rPr>
        <w:t>月</w:t>
      </w:r>
      <w:r>
        <w:rPr>
          <w:rFonts w:hint="default" w:ascii="宋体" w:hAnsi="宋体" w:cs="宋体"/>
          <w:sz w:val="24"/>
          <w:lang w:eastAsia="zh-Hans"/>
        </w:rPr>
        <w:t>2</w:t>
      </w:r>
      <w:r>
        <w:rPr>
          <w:rFonts w:hint="default" w:ascii="宋体" w:hAnsi="宋体" w:cs="宋体"/>
          <w:sz w:val="24"/>
          <w:lang w:eastAsia="zh-Hans"/>
        </w:rPr>
        <w:t>0</w:t>
      </w:r>
      <w:r>
        <w:rPr>
          <w:rFonts w:hint="eastAsia" w:ascii="宋体" w:hAnsi="宋体" w:cs="宋体"/>
          <w:sz w:val="24"/>
          <w:lang w:eastAsia="zh-Hans"/>
        </w:rPr>
        <w:t>日上午</w:t>
      </w:r>
      <w:r>
        <w:rPr>
          <w:rFonts w:ascii="宋体" w:hAnsi="宋体" w:cs="宋体"/>
          <w:sz w:val="24"/>
          <w:lang w:eastAsia="zh-Hans"/>
        </w:rPr>
        <w:t>10:00</w:t>
      </w:r>
      <w:r>
        <w:rPr>
          <w:rFonts w:hint="eastAsia" w:ascii="宋体" w:hAnsi="宋体" w:cs="宋体"/>
          <w:sz w:val="24"/>
          <w:lang w:eastAsia="zh-Hans"/>
        </w:rPr>
        <w:t>（</w:t>
      </w:r>
      <w:r>
        <w:rPr>
          <w:rFonts w:hint="eastAsia" w:ascii="宋体" w:hAnsi="宋体" w:cs="宋体"/>
          <w:sz w:val="24"/>
        </w:rPr>
        <w:t>北京时间</w:t>
      </w:r>
      <w:r>
        <w:rPr>
          <w:rFonts w:hint="eastAsia" w:ascii="宋体" w:hAnsi="宋体" w:cs="宋体"/>
          <w:sz w:val="24"/>
          <w:lang w:eastAsia="zh-Hans"/>
        </w:rPr>
        <w:t>），</w:t>
      </w:r>
      <w:r>
        <w:rPr>
          <w:rFonts w:hint="eastAsia" w:ascii="宋体" w:hAnsi="宋体" w:cs="宋体"/>
          <w:sz w:val="24"/>
        </w:rPr>
        <w:t>比选申请人于截止时间前，将密封并标记的比选申请书递交至</w:t>
      </w:r>
      <w:r>
        <w:rPr>
          <w:rFonts w:hint="eastAsia" w:ascii="宋体" w:hAnsi="宋体" w:cs="宋体"/>
          <w:sz w:val="24"/>
          <w:lang w:eastAsia="zh-Hans"/>
        </w:rPr>
        <w:t>成都高新区天环街</w:t>
      </w:r>
      <w:r>
        <w:rPr>
          <w:rFonts w:ascii="宋体" w:hAnsi="宋体" w:cs="宋体"/>
          <w:sz w:val="24"/>
          <w:lang w:eastAsia="zh-Hans"/>
        </w:rPr>
        <w:t>199</w:t>
      </w:r>
      <w:r>
        <w:rPr>
          <w:rFonts w:hint="eastAsia" w:ascii="宋体" w:hAnsi="宋体" w:cs="宋体"/>
          <w:sz w:val="24"/>
          <w:lang w:eastAsia="zh-Hans"/>
        </w:rPr>
        <w:t>号成都七中初中学校天环校区，</w:t>
      </w:r>
      <w:r>
        <w:rPr>
          <w:rFonts w:hint="eastAsia" w:ascii="宋体" w:hAnsi="宋体" w:cs="宋体"/>
          <w:sz w:val="24"/>
        </w:rPr>
        <w:t>逾期送达的比选申请书将被拒绝。</w:t>
      </w:r>
    </w:p>
    <w:p>
      <w:pPr>
        <w:pStyle w:val="5"/>
        <w:keepNext w:val="0"/>
        <w:keepLines w:val="0"/>
        <w:widowControl/>
        <w:shd w:val="clear" w:color="auto" w:fill="FFFFFF"/>
        <w:spacing w:before="0" w:after="15" w:line="360" w:lineRule="auto"/>
        <w:rPr>
          <w:rFonts w:ascii="宋体" w:hAnsi="宋体" w:cs="宋体"/>
          <w:b w:val="0"/>
          <w:bCs w:val="0"/>
          <w:sz w:val="24"/>
        </w:rPr>
      </w:pPr>
      <w:r>
        <w:rPr>
          <w:rFonts w:hint="eastAsia" w:ascii="宋体" w:hAnsi="宋体" w:cs="宋体"/>
          <w:sz w:val="24"/>
        </w:rPr>
        <w:t xml:space="preserve">    </w:t>
      </w:r>
      <w:r>
        <w:rPr>
          <w:rFonts w:hint="eastAsia" w:ascii="宋体" w:hAnsi="宋体" w:cs="宋体"/>
          <w:sz w:val="24"/>
          <w:lang w:eastAsia="zh-Hans"/>
        </w:rPr>
        <w:t>六</w:t>
      </w:r>
      <w:r>
        <w:rPr>
          <w:rFonts w:hint="eastAsia" w:ascii="宋体" w:hAnsi="宋体" w:cs="宋体"/>
          <w:sz w:val="24"/>
        </w:rPr>
        <w:t>、联系人及联系电话：</w:t>
      </w:r>
    </w:p>
    <w:p>
      <w:pPr>
        <w:spacing w:line="360" w:lineRule="auto"/>
        <w:ind w:firstLine="480" w:firstLineChars="200"/>
        <w:rPr>
          <w:rFonts w:ascii="宋体" w:hAnsi="宋体" w:cs="宋体"/>
          <w:sz w:val="24"/>
          <w:lang w:eastAsia="zh-Hans"/>
        </w:rPr>
      </w:pPr>
      <w:r>
        <w:rPr>
          <w:rFonts w:ascii="宋体" w:hAnsi="宋体" w:cs="宋体"/>
          <w:sz w:val="24"/>
          <w:lang w:eastAsia="zh-Hans"/>
        </w:rPr>
        <w:t>1.</w:t>
      </w:r>
      <w:r>
        <w:rPr>
          <w:rFonts w:hint="eastAsia" w:ascii="宋体" w:hAnsi="宋体" w:cs="宋体"/>
          <w:sz w:val="24"/>
          <w:lang w:eastAsia="zh-Hans"/>
        </w:rPr>
        <w:t>比选人：四川省成都市第七中学初中学校</w:t>
      </w:r>
    </w:p>
    <w:p>
      <w:pPr>
        <w:spacing w:line="360" w:lineRule="auto"/>
        <w:ind w:firstLine="480" w:firstLineChars="200"/>
        <w:rPr>
          <w:rFonts w:ascii="宋体" w:hAnsi="宋体" w:cs="宋体"/>
          <w:sz w:val="24"/>
          <w:lang w:eastAsia="zh-Hans"/>
        </w:rPr>
      </w:pPr>
      <w:r>
        <w:rPr>
          <w:rFonts w:hint="eastAsia" w:ascii="宋体" w:hAnsi="宋体" w:cs="宋体"/>
          <w:sz w:val="24"/>
          <w:lang w:eastAsia="zh-Hans"/>
        </w:rPr>
        <w:t>联系人：</w:t>
      </w:r>
      <w:r>
        <w:rPr>
          <w:rFonts w:hint="eastAsia" w:ascii="宋体" w:hAnsi="宋体" w:cs="宋体"/>
          <w:sz w:val="24"/>
          <w:lang w:val="en-US" w:eastAsia="zh-Hans"/>
        </w:rPr>
        <w:t>张老师</w:t>
      </w:r>
    </w:p>
    <w:p>
      <w:pPr>
        <w:spacing w:line="360" w:lineRule="auto"/>
        <w:ind w:firstLine="480" w:firstLineChars="200"/>
        <w:rPr>
          <w:rFonts w:ascii="宋体" w:hAnsi="宋体" w:cs="宋体"/>
          <w:sz w:val="24"/>
          <w:lang w:eastAsia="zh-Hans"/>
        </w:rPr>
      </w:pPr>
      <w:r>
        <w:rPr>
          <w:rFonts w:hint="eastAsia" w:ascii="宋体" w:hAnsi="宋体" w:cs="宋体"/>
          <w:sz w:val="24"/>
          <w:lang w:eastAsia="zh-Hans"/>
        </w:rPr>
        <w:t>联系电话：028-69283747</w:t>
      </w:r>
    </w:p>
    <w:p>
      <w:pPr>
        <w:pStyle w:val="2"/>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rPr>
        <w:sectPr>
          <w:footerReference r:id="rId6" w:type="first"/>
          <w:footerReference r:id="rId5" w:type="default"/>
          <w:pgSz w:w="11906" w:h="16838"/>
          <w:pgMar w:top="907" w:right="1797" w:bottom="680" w:left="1797" w:header="851" w:footer="992" w:gutter="0"/>
          <w:pgNumType w:start="1"/>
          <w:cols w:space="720" w:num="1"/>
          <w:titlePg/>
          <w:docGrid w:type="lines" w:linePitch="312" w:charSpace="0"/>
        </w:sectPr>
      </w:pPr>
    </w:p>
    <w:p>
      <w:pPr>
        <w:spacing w:line="360" w:lineRule="auto"/>
        <w:jc w:val="center"/>
        <w:outlineLvl w:val="0"/>
        <w:rPr>
          <w:rFonts w:ascii="宋体" w:hAnsi="宋体" w:cs="宋体"/>
          <w:b/>
          <w:sz w:val="32"/>
          <w:szCs w:val="32"/>
        </w:rPr>
      </w:pPr>
      <w:bookmarkStart w:id="2" w:name="_Toc2293_WPSOffice_Level1"/>
      <w:bookmarkStart w:id="3" w:name="_Toc27811"/>
      <w:r>
        <w:rPr>
          <w:rFonts w:hint="eastAsia" w:ascii="宋体" w:hAnsi="宋体" w:cs="宋体"/>
          <w:b/>
          <w:kern w:val="0"/>
          <w:sz w:val="32"/>
          <w:szCs w:val="32"/>
          <w:lang w:val="zh-CN"/>
        </w:rPr>
        <w:t xml:space="preserve">第二部分  </w:t>
      </w:r>
      <w:r>
        <w:rPr>
          <w:rFonts w:hint="eastAsia" w:ascii="宋体" w:hAnsi="宋体" w:cs="宋体"/>
          <w:b/>
          <w:sz w:val="32"/>
          <w:szCs w:val="32"/>
        </w:rPr>
        <w:t>比选申请人须知</w:t>
      </w:r>
      <w:bookmarkEnd w:id="2"/>
      <w:bookmarkEnd w:id="3"/>
      <w:bookmarkStart w:id="4" w:name="_Toc77742788"/>
      <w:bookmarkStart w:id="5" w:name="_Toc77742960"/>
      <w:bookmarkStart w:id="6" w:name="_Toc149481860"/>
    </w:p>
    <w:p>
      <w:pPr>
        <w:spacing w:line="360" w:lineRule="auto"/>
        <w:ind w:firstLine="420" w:firstLineChars="200"/>
        <w:jc w:val="left"/>
        <w:rPr>
          <w:rFonts w:ascii="宋体" w:hAnsi="宋体" w:cs="宋体"/>
          <w:sz w:val="24"/>
        </w:rPr>
      </w:pPr>
      <w:r>
        <w:rPr>
          <w:rFonts w:hint="eastAsia" w:ascii="宋体" w:hAnsi="宋体" w:cs="宋体"/>
        </w:rPr>
        <w:t>一、</w:t>
      </w:r>
      <w:bookmarkEnd w:id="4"/>
      <w:bookmarkEnd w:id="5"/>
      <w:bookmarkEnd w:id="6"/>
      <w:r>
        <w:rPr>
          <w:rFonts w:hint="eastAsia" w:ascii="宋体" w:hAnsi="宋体" w:cs="宋体"/>
          <w:sz w:val="24"/>
        </w:rPr>
        <w:t>比选费用</w:t>
      </w:r>
    </w:p>
    <w:p>
      <w:pPr>
        <w:spacing w:line="360" w:lineRule="auto"/>
        <w:ind w:firstLine="480" w:firstLineChars="200"/>
        <w:jc w:val="left"/>
        <w:rPr>
          <w:rFonts w:ascii="宋体" w:hAnsi="宋体" w:cs="宋体"/>
          <w:sz w:val="24"/>
        </w:rPr>
      </w:pPr>
      <w:r>
        <w:rPr>
          <w:rFonts w:hint="eastAsia" w:ascii="宋体" w:hAnsi="宋体" w:cs="宋体"/>
          <w:sz w:val="24"/>
        </w:rPr>
        <w:t>比选申请人在比选过程中的一切费用，不论中选与否，均由比选申请人自行承担。</w:t>
      </w:r>
    </w:p>
    <w:p>
      <w:pPr>
        <w:spacing w:line="360" w:lineRule="auto"/>
        <w:ind w:firstLine="480" w:firstLineChars="200"/>
        <w:jc w:val="left"/>
        <w:rPr>
          <w:rFonts w:ascii="宋体" w:hAnsi="宋体" w:cs="宋体"/>
          <w:sz w:val="24"/>
        </w:rPr>
      </w:pPr>
      <w:r>
        <w:rPr>
          <w:rFonts w:hint="eastAsia" w:ascii="宋体" w:hAnsi="宋体" w:cs="宋体"/>
          <w:sz w:val="24"/>
        </w:rPr>
        <w:t>注：比选申请人应仔细阅读比选文件，按比选文件的规定和要求的格式编写比选申请书。</w:t>
      </w:r>
    </w:p>
    <w:p>
      <w:pPr>
        <w:spacing w:line="360" w:lineRule="auto"/>
        <w:ind w:firstLine="480" w:firstLineChars="200"/>
        <w:jc w:val="left"/>
        <w:rPr>
          <w:rFonts w:ascii="宋体" w:hAnsi="宋体" w:cs="宋体"/>
          <w:sz w:val="24"/>
        </w:rPr>
      </w:pPr>
      <w:r>
        <w:rPr>
          <w:rFonts w:hint="eastAsia" w:ascii="宋体" w:hAnsi="宋体" w:cs="宋体"/>
          <w:sz w:val="24"/>
        </w:rPr>
        <w:t>比选申请人应认真检查比选文件是否完整，若发现缺页或不全时，应及时向比选人提出，以便补齐。</w:t>
      </w:r>
      <w:bookmarkStart w:id="7" w:name="_Toc425509574"/>
    </w:p>
    <w:p>
      <w:pPr>
        <w:pStyle w:val="4"/>
        <w:tabs>
          <w:tab w:val="left" w:pos="426"/>
          <w:tab w:val="left" w:pos="567"/>
          <w:tab w:val="left" w:pos="1400"/>
        </w:tabs>
        <w:ind w:firstLine="481"/>
        <w:rPr>
          <w:rFonts w:cs="宋体"/>
          <w:b w:val="0"/>
          <w:sz w:val="24"/>
          <w:szCs w:val="24"/>
        </w:rPr>
      </w:pPr>
      <w:r>
        <w:rPr>
          <w:rFonts w:hint="eastAsia" w:cs="宋体"/>
          <w:b w:val="0"/>
          <w:sz w:val="24"/>
          <w:szCs w:val="24"/>
        </w:rPr>
        <w:t>二、比选保证金</w:t>
      </w:r>
    </w:p>
    <w:p>
      <w:pPr>
        <w:tabs>
          <w:tab w:val="left" w:pos="993"/>
          <w:tab w:val="left" w:pos="1200"/>
        </w:tabs>
        <w:spacing w:line="360" w:lineRule="auto"/>
        <w:ind w:firstLine="720" w:firstLineChars="300"/>
        <w:rPr>
          <w:rFonts w:ascii="宋体" w:hAnsi="宋体" w:cs="宋体"/>
          <w:sz w:val="24"/>
        </w:rPr>
      </w:pPr>
      <w:r>
        <w:rPr>
          <w:rFonts w:hint="eastAsia" w:ascii="宋体" w:hAnsi="宋体" w:cs="宋体"/>
          <w:sz w:val="24"/>
        </w:rPr>
        <w:t>本项目不收取。</w:t>
      </w:r>
    </w:p>
    <w:p>
      <w:pPr>
        <w:spacing w:line="360" w:lineRule="auto"/>
        <w:jc w:val="left"/>
        <w:rPr>
          <w:rFonts w:ascii="宋体" w:hAnsi="宋体" w:cs="宋体"/>
          <w:sz w:val="24"/>
        </w:rPr>
      </w:pPr>
      <w:r>
        <w:rPr>
          <w:rFonts w:hint="eastAsia" w:ascii="宋体" w:hAnsi="宋体" w:cs="宋体"/>
          <w:sz w:val="24"/>
        </w:rPr>
        <w:t xml:space="preserve">    三、比选文件</w:t>
      </w:r>
      <w:bookmarkEnd w:id="7"/>
      <w:bookmarkStart w:id="8" w:name="_Toc77742791"/>
      <w:bookmarkStart w:id="9" w:name="_Toc149481863"/>
      <w:bookmarkStart w:id="10" w:name="_Toc77742963"/>
    </w:p>
    <w:p>
      <w:pPr>
        <w:spacing w:line="360" w:lineRule="auto"/>
        <w:ind w:firstLine="480" w:firstLineChars="200"/>
        <w:jc w:val="left"/>
        <w:rPr>
          <w:rFonts w:ascii="宋体" w:hAnsi="宋体" w:cs="宋体"/>
          <w:sz w:val="24"/>
        </w:rPr>
      </w:pPr>
      <w:r>
        <w:rPr>
          <w:rFonts w:hint="eastAsia" w:ascii="宋体" w:hAnsi="宋体" w:cs="宋体"/>
          <w:sz w:val="24"/>
        </w:rPr>
        <w:t>（一）比选文件的组成</w:t>
      </w:r>
      <w:bookmarkEnd w:id="8"/>
      <w:bookmarkEnd w:id="9"/>
      <w:bookmarkEnd w:id="10"/>
    </w:p>
    <w:p>
      <w:pPr>
        <w:spacing w:line="360" w:lineRule="auto"/>
        <w:ind w:firstLine="480" w:firstLineChars="200"/>
        <w:jc w:val="left"/>
        <w:rPr>
          <w:rFonts w:ascii="宋体" w:hAnsi="宋体" w:cs="宋体"/>
          <w:sz w:val="24"/>
        </w:rPr>
      </w:pPr>
      <w:r>
        <w:rPr>
          <w:rFonts w:hint="eastAsia" w:ascii="宋体" w:hAnsi="宋体" w:cs="宋体"/>
          <w:sz w:val="24"/>
        </w:rPr>
        <w:t>1、本比选文件包括下列文件以及按本须知有关条款发出的补充资料等。</w:t>
      </w:r>
    </w:p>
    <w:p>
      <w:pPr>
        <w:spacing w:line="360" w:lineRule="auto"/>
        <w:ind w:firstLine="480" w:firstLineChars="200"/>
        <w:jc w:val="left"/>
        <w:rPr>
          <w:rFonts w:ascii="宋体" w:hAnsi="宋体" w:cs="宋体"/>
          <w:sz w:val="24"/>
        </w:rPr>
      </w:pPr>
      <w:r>
        <w:rPr>
          <w:rFonts w:hint="eastAsia" w:ascii="宋体" w:hAnsi="宋体" w:cs="宋体"/>
          <w:sz w:val="24"/>
        </w:rPr>
        <w:tab/>
      </w:r>
      <w:r>
        <w:rPr>
          <w:rFonts w:hint="eastAsia" w:ascii="宋体" w:hAnsi="宋体" w:cs="宋体"/>
          <w:sz w:val="24"/>
        </w:rPr>
        <w:t>第一章  比选邀请函</w:t>
      </w:r>
    </w:p>
    <w:p>
      <w:pPr>
        <w:spacing w:line="360" w:lineRule="auto"/>
        <w:ind w:firstLine="480" w:firstLineChars="200"/>
        <w:jc w:val="left"/>
        <w:rPr>
          <w:rFonts w:ascii="宋体" w:hAnsi="宋体" w:cs="宋体"/>
          <w:sz w:val="24"/>
        </w:rPr>
      </w:pPr>
      <w:r>
        <w:rPr>
          <w:rFonts w:hint="eastAsia" w:ascii="宋体" w:hAnsi="宋体" w:cs="宋体"/>
          <w:sz w:val="24"/>
        </w:rPr>
        <w:tab/>
      </w:r>
      <w:r>
        <w:rPr>
          <w:rFonts w:hint="eastAsia" w:ascii="宋体" w:hAnsi="宋体" w:cs="宋体"/>
          <w:sz w:val="24"/>
        </w:rPr>
        <w:t>第二章  比选申请人须知</w:t>
      </w:r>
    </w:p>
    <w:p>
      <w:pPr>
        <w:spacing w:line="360" w:lineRule="auto"/>
        <w:ind w:firstLine="480" w:firstLineChars="200"/>
        <w:jc w:val="left"/>
        <w:rPr>
          <w:rFonts w:ascii="宋体" w:hAnsi="宋体" w:cs="宋体"/>
          <w:sz w:val="24"/>
        </w:rPr>
      </w:pPr>
      <w:r>
        <w:rPr>
          <w:rFonts w:hint="eastAsia" w:ascii="宋体" w:hAnsi="宋体" w:cs="宋体"/>
          <w:sz w:val="24"/>
        </w:rPr>
        <w:tab/>
      </w:r>
      <w:r>
        <w:rPr>
          <w:rFonts w:hint="eastAsia" w:ascii="宋体" w:hAnsi="宋体" w:cs="宋体"/>
          <w:sz w:val="24"/>
        </w:rPr>
        <w:t>第三章  技术、服务、商务及其他要求</w:t>
      </w:r>
    </w:p>
    <w:p>
      <w:pPr>
        <w:spacing w:line="360" w:lineRule="auto"/>
        <w:ind w:firstLine="480" w:firstLineChars="200"/>
        <w:jc w:val="left"/>
        <w:rPr>
          <w:rFonts w:ascii="宋体" w:hAnsi="宋体" w:cs="宋体"/>
          <w:sz w:val="24"/>
        </w:rPr>
      </w:pPr>
      <w:r>
        <w:rPr>
          <w:rFonts w:hint="eastAsia" w:ascii="宋体" w:hAnsi="宋体" w:cs="宋体"/>
          <w:sz w:val="24"/>
        </w:rPr>
        <w:tab/>
      </w:r>
      <w:r>
        <w:rPr>
          <w:rFonts w:hint="eastAsia" w:ascii="宋体" w:hAnsi="宋体" w:cs="宋体"/>
          <w:sz w:val="24"/>
        </w:rPr>
        <w:t>第四章</w:t>
      </w:r>
      <w:r>
        <w:rPr>
          <w:rFonts w:hint="default" w:ascii="宋体" w:hAnsi="宋体" w:cs="宋体"/>
          <w:sz w:val="24"/>
        </w:rPr>
        <w:t xml:space="preserve">  </w:t>
      </w:r>
      <w:r>
        <w:rPr>
          <w:rFonts w:hint="eastAsia" w:ascii="宋体" w:hAnsi="宋体" w:cs="宋体"/>
          <w:sz w:val="24"/>
        </w:rPr>
        <w:t>评选办法及评比标准</w:t>
      </w:r>
    </w:p>
    <w:p>
      <w:pPr>
        <w:spacing w:line="360" w:lineRule="auto"/>
        <w:ind w:firstLine="480" w:firstLineChars="200"/>
        <w:jc w:val="left"/>
        <w:rPr>
          <w:rFonts w:ascii="宋体" w:hAnsi="宋体" w:cs="宋体"/>
          <w:sz w:val="24"/>
        </w:rPr>
      </w:pPr>
      <w:r>
        <w:rPr>
          <w:rFonts w:hint="eastAsia" w:ascii="宋体" w:hAnsi="宋体" w:cs="宋体"/>
          <w:sz w:val="24"/>
        </w:rPr>
        <w:tab/>
      </w:r>
      <w:r>
        <w:rPr>
          <w:rFonts w:hint="eastAsia" w:ascii="宋体" w:hAnsi="宋体" w:cs="宋体"/>
          <w:sz w:val="24"/>
        </w:rPr>
        <w:t>第五章  比选申请书格式及要求</w:t>
      </w:r>
    </w:p>
    <w:p>
      <w:pPr>
        <w:spacing w:line="360" w:lineRule="auto"/>
        <w:ind w:firstLine="480" w:firstLineChars="200"/>
        <w:jc w:val="left"/>
        <w:rPr>
          <w:rFonts w:ascii="宋体" w:hAnsi="宋体" w:cs="宋体"/>
          <w:sz w:val="24"/>
        </w:rPr>
      </w:pPr>
      <w:r>
        <w:rPr>
          <w:rFonts w:hint="eastAsia" w:ascii="宋体" w:hAnsi="宋体" w:cs="宋体"/>
          <w:sz w:val="24"/>
        </w:rPr>
        <w:tab/>
      </w:r>
      <w:r>
        <w:rPr>
          <w:rFonts w:hint="eastAsia" w:ascii="宋体" w:hAnsi="宋体" w:cs="宋体"/>
          <w:sz w:val="24"/>
        </w:rPr>
        <w:t>第六章</w:t>
      </w:r>
      <w:r>
        <w:rPr>
          <w:rFonts w:hint="default" w:ascii="宋体" w:hAnsi="宋体" w:cs="宋体"/>
          <w:sz w:val="24"/>
        </w:rPr>
        <w:t xml:space="preserve">  </w:t>
      </w:r>
      <w:r>
        <w:rPr>
          <w:rFonts w:hint="eastAsia" w:ascii="宋体" w:hAnsi="宋体" w:cs="宋体"/>
          <w:sz w:val="24"/>
        </w:rPr>
        <w:t>合同条款</w:t>
      </w:r>
    </w:p>
    <w:p>
      <w:pPr>
        <w:spacing w:line="360" w:lineRule="auto"/>
        <w:ind w:firstLine="480" w:firstLineChars="200"/>
        <w:jc w:val="left"/>
        <w:rPr>
          <w:rFonts w:ascii="宋体" w:hAnsi="宋体" w:cs="宋体"/>
          <w:sz w:val="24"/>
        </w:rPr>
      </w:pPr>
      <w:r>
        <w:rPr>
          <w:rFonts w:hint="eastAsia" w:ascii="宋体" w:hAnsi="宋体" w:cs="宋体"/>
          <w:sz w:val="24"/>
        </w:rPr>
        <w:t>2、比选申请人应认真阅读比选文件，明确各项要求。如比选申请人编制的比选申请书不能响应和满足要求的，其比选申请书将被比选人拒绝或视为无效。</w:t>
      </w:r>
    </w:p>
    <w:p>
      <w:pPr>
        <w:spacing w:line="360" w:lineRule="auto"/>
        <w:ind w:firstLine="480" w:firstLineChars="200"/>
        <w:jc w:val="left"/>
        <w:rPr>
          <w:rFonts w:ascii="宋体" w:hAnsi="宋体" w:cs="宋体"/>
          <w:sz w:val="24"/>
        </w:rPr>
      </w:pPr>
      <w:r>
        <w:rPr>
          <w:rFonts w:hint="eastAsia" w:ascii="宋体" w:hAnsi="宋体" w:cs="宋体"/>
          <w:sz w:val="24"/>
        </w:rPr>
        <w:t>3、本比选文件的解释由比选人负责。</w:t>
      </w:r>
    </w:p>
    <w:p>
      <w:pPr>
        <w:spacing w:line="360" w:lineRule="auto"/>
        <w:ind w:firstLine="480" w:firstLineChars="200"/>
        <w:jc w:val="left"/>
        <w:rPr>
          <w:rFonts w:ascii="宋体" w:hAnsi="宋体" w:cs="宋体"/>
          <w:sz w:val="24"/>
        </w:rPr>
      </w:pPr>
      <w:r>
        <w:rPr>
          <w:rFonts w:hint="eastAsia" w:ascii="宋体" w:hAnsi="宋体" w:cs="宋体"/>
          <w:sz w:val="24"/>
        </w:rPr>
        <w:t>4、比选申请书有效期：比选申请书在本比选文件规定的提交比选申请书截止日起90个日历日内有效。</w:t>
      </w:r>
      <w:bookmarkStart w:id="11" w:name="_Toc77742964"/>
      <w:bookmarkStart w:id="12" w:name="_Toc77742792"/>
      <w:bookmarkStart w:id="13" w:name="_Toc149481864"/>
    </w:p>
    <w:p>
      <w:pPr>
        <w:spacing w:line="360" w:lineRule="auto"/>
        <w:ind w:firstLine="480" w:firstLineChars="200"/>
        <w:jc w:val="left"/>
        <w:rPr>
          <w:rFonts w:ascii="宋体" w:hAnsi="宋体" w:cs="宋体"/>
          <w:sz w:val="24"/>
        </w:rPr>
      </w:pPr>
      <w:r>
        <w:rPr>
          <w:rFonts w:hint="eastAsia" w:ascii="宋体" w:hAnsi="宋体" w:cs="宋体"/>
          <w:sz w:val="24"/>
        </w:rPr>
        <w:t>（二）比选文件的澄清</w:t>
      </w:r>
      <w:bookmarkEnd w:id="11"/>
      <w:bookmarkEnd w:id="12"/>
      <w:bookmarkEnd w:id="13"/>
    </w:p>
    <w:p>
      <w:pPr>
        <w:spacing w:line="360" w:lineRule="auto"/>
        <w:ind w:firstLine="480" w:firstLineChars="200"/>
        <w:jc w:val="left"/>
        <w:rPr>
          <w:rFonts w:ascii="宋体" w:hAnsi="宋体" w:cs="宋体"/>
          <w:sz w:val="24"/>
        </w:rPr>
      </w:pPr>
      <w:r>
        <w:rPr>
          <w:rFonts w:hint="eastAsia" w:ascii="宋体" w:hAnsi="宋体" w:cs="宋体"/>
          <w:sz w:val="24"/>
        </w:rPr>
        <w:t>比选申请人在收到比选文件以后，若有问题需要建议的，应在202</w:t>
      </w:r>
      <w:r>
        <w:rPr>
          <w:rFonts w:ascii="宋体" w:hAnsi="宋体" w:cs="宋体"/>
          <w:sz w:val="24"/>
        </w:rPr>
        <w:t>2</w:t>
      </w:r>
      <w:r>
        <w:rPr>
          <w:rFonts w:hint="eastAsia" w:ascii="宋体" w:hAnsi="宋体" w:cs="宋体"/>
          <w:sz w:val="24"/>
        </w:rPr>
        <w:t>年</w:t>
      </w:r>
      <w:r>
        <w:rPr>
          <w:rFonts w:ascii="宋体" w:hAnsi="宋体" w:cs="宋体"/>
          <w:sz w:val="24"/>
        </w:rPr>
        <w:t>4</w:t>
      </w:r>
      <w:r>
        <w:rPr>
          <w:rFonts w:hint="eastAsia" w:ascii="宋体" w:hAnsi="宋体" w:cs="宋体"/>
          <w:sz w:val="24"/>
        </w:rPr>
        <w:t>月</w:t>
      </w:r>
      <w:r>
        <w:rPr>
          <w:rFonts w:hint="default" w:ascii="宋体" w:hAnsi="宋体" w:cs="宋体"/>
          <w:sz w:val="24"/>
        </w:rPr>
        <w:t>19</w:t>
      </w:r>
      <w:r>
        <w:rPr>
          <w:rFonts w:hint="eastAsia" w:ascii="宋体" w:hAnsi="宋体" w:cs="宋体"/>
          <w:sz w:val="24"/>
        </w:rPr>
        <w:t>日</w:t>
      </w:r>
      <w:r>
        <w:rPr>
          <w:rFonts w:ascii="宋体" w:hAnsi="宋体" w:cs="宋体"/>
          <w:sz w:val="24"/>
        </w:rPr>
        <w:t>17:30</w:t>
      </w:r>
      <w:r>
        <w:rPr>
          <w:rFonts w:hint="eastAsia" w:ascii="宋体" w:hAnsi="宋体" w:cs="宋体"/>
          <w:sz w:val="24"/>
        </w:rPr>
        <w:t>前以书面形式向比选人提出,在规定时间内未提出任何书面建议的视为对本比选文件完全认同，在规定时间后提出的任何建议均不予受理。比选人认为有必要澄清的，将以书面形式予以答复。该答复将以书面形式通知所有比选申请人，并作为比选文件的组成部分。</w:t>
      </w:r>
      <w:bookmarkStart w:id="14" w:name="_Toc77742965"/>
      <w:bookmarkStart w:id="15" w:name="_Toc77742793"/>
      <w:bookmarkStart w:id="16" w:name="_Toc149481865"/>
      <w:bookmarkStart w:id="199" w:name="_GoBack"/>
      <w:bookmarkEnd w:id="199"/>
    </w:p>
    <w:p>
      <w:pPr>
        <w:spacing w:line="360" w:lineRule="auto"/>
        <w:ind w:firstLine="480" w:firstLineChars="200"/>
        <w:jc w:val="left"/>
        <w:rPr>
          <w:rFonts w:ascii="宋体" w:hAnsi="宋体" w:cs="宋体"/>
          <w:sz w:val="24"/>
        </w:rPr>
      </w:pPr>
      <w:r>
        <w:rPr>
          <w:rFonts w:hint="eastAsia" w:ascii="宋体" w:hAnsi="宋体" w:cs="宋体"/>
          <w:sz w:val="24"/>
        </w:rPr>
        <w:t>（三）比选文件的修改</w:t>
      </w:r>
      <w:bookmarkEnd w:id="14"/>
      <w:bookmarkEnd w:id="15"/>
      <w:bookmarkEnd w:id="16"/>
    </w:p>
    <w:p>
      <w:pPr>
        <w:spacing w:line="360" w:lineRule="auto"/>
        <w:ind w:firstLine="480" w:firstLineChars="200"/>
        <w:jc w:val="left"/>
        <w:rPr>
          <w:rFonts w:ascii="宋体" w:hAnsi="宋体" w:cs="宋体"/>
          <w:sz w:val="24"/>
        </w:rPr>
      </w:pPr>
      <w:r>
        <w:rPr>
          <w:rFonts w:hint="eastAsia" w:ascii="宋体" w:hAnsi="宋体" w:cs="宋体"/>
          <w:sz w:val="24"/>
        </w:rPr>
        <w:t>比选人可以对已发出的比选文件进行必要的修改。若需进行修改，比选人将以书面形式通知所有已获取比选文件的比选申请人。该修改内容为比选文件的组成部分。</w:t>
      </w:r>
      <w:bookmarkStart w:id="17" w:name="_Toc149481868"/>
      <w:bookmarkStart w:id="18" w:name="_Toc77742969"/>
      <w:bookmarkStart w:id="19" w:name="_Toc425509575"/>
      <w:bookmarkStart w:id="20" w:name="_Toc77742797"/>
    </w:p>
    <w:p>
      <w:pPr>
        <w:spacing w:line="360" w:lineRule="auto"/>
        <w:jc w:val="left"/>
        <w:rPr>
          <w:rFonts w:ascii="宋体" w:hAnsi="宋体" w:cs="宋体"/>
          <w:bCs/>
          <w:sz w:val="24"/>
        </w:rPr>
      </w:pPr>
      <w:r>
        <w:rPr>
          <w:rFonts w:hint="eastAsia" w:ascii="宋体" w:hAnsi="宋体" w:cs="宋体"/>
          <w:bCs/>
          <w:sz w:val="24"/>
        </w:rPr>
        <w:t xml:space="preserve">    五、比选申请书的编制</w:t>
      </w:r>
      <w:bookmarkEnd w:id="17"/>
      <w:bookmarkEnd w:id="18"/>
      <w:bookmarkEnd w:id="19"/>
      <w:bookmarkEnd w:id="20"/>
      <w:bookmarkStart w:id="21" w:name="_Toc77742798"/>
      <w:bookmarkStart w:id="22" w:name="_Toc149481869"/>
      <w:bookmarkStart w:id="23" w:name="_Toc77742970"/>
    </w:p>
    <w:p>
      <w:pPr>
        <w:spacing w:line="360" w:lineRule="auto"/>
        <w:ind w:firstLine="480" w:firstLineChars="200"/>
        <w:jc w:val="left"/>
        <w:rPr>
          <w:rFonts w:ascii="宋体" w:hAnsi="宋体" w:cs="宋体"/>
          <w:sz w:val="24"/>
        </w:rPr>
      </w:pPr>
      <w:r>
        <w:rPr>
          <w:rFonts w:hint="eastAsia" w:ascii="宋体" w:hAnsi="宋体" w:cs="宋体"/>
          <w:sz w:val="24"/>
        </w:rPr>
        <w:t>（一）比选申请书的语言</w:t>
      </w:r>
      <w:bookmarkEnd w:id="21"/>
      <w:bookmarkEnd w:id="22"/>
      <w:bookmarkEnd w:id="23"/>
    </w:p>
    <w:p>
      <w:pPr>
        <w:spacing w:line="360" w:lineRule="auto"/>
        <w:ind w:firstLine="480" w:firstLineChars="200"/>
        <w:jc w:val="left"/>
        <w:rPr>
          <w:rFonts w:ascii="宋体" w:hAnsi="宋体" w:cs="宋体"/>
          <w:sz w:val="24"/>
        </w:rPr>
      </w:pPr>
      <w:r>
        <w:rPr>
          <w:rFonts w:hint="eastAsia" w:ascii="宋体" w:hAnsi="宋体" w:cs="宋体"/>
          <w:sz w:val="24"/>
        </w:rPr>
        <w:t>比选申请书，以及与比选有关的通知、函件和文件等均应使用汉语语言文字。</w:t>
      </w:r>
      <w:bookmarkStart w:id="24" w:name="_Toc77742971"/>
      <w:bookmarkStart w:id="25" w:name="_Toc77742799"/>
      <w:bookmarkStart w:id="26" w:name="_Toc149481870"/>
    </w:p>
    <w:p>
      <w:pPr>
        <w:spacing w:line="360" w:lineRule="auto"/>
        <w:ind w:firstLine="480" w:firstLineChars="200"/>
        <w:jc w:val="left"/>
        <w:rPr>
          <w:rFonts w:ascii="宋体" w:hAnsi="宋体" w:cs="宋体"/>
          <w:sz w:val="24"/>
        </w:rPr>
      </w:pPr>
      <w:r>
        <w:rPr>
          <w:rFonts w:hint="eastAsia" w:ascii="宋体" w:hAnsi="宋体" w:cs="宋体"/>
          <w:sz w:val="24"/>
        </w:rPr>
        <w:t>（二）比选申请书的组成</w:t>
      </w:r>
      <w:bookmarkEnd w:id="24"/>
      <w:bookmarkEnd w:id="25"/>
      <w:bookmarkEnd w:id="26"/>
    </w:p>
    <w:p>
      <w:pPr>
        <w:spacing w:line="360" w:lineRule="auto"/>
        <w:ind w:firstLine="480" w:firstLineChars="200"/>
        <w:jc w:val="left"/>
        <w:rPr>
          <w:rFonts w:ascii="宋体" w:hAnsi="宋体" w:cs="宋体"/>
          <w:b/>
          <w:sz w:val="24"/>
        </w:rPr>
      </w:pPr>
      <w:r>
        <w:rPr>
          <w:rFonts w:hint="eastAsia" w:ascii="宋体" w:hAnsi="宋体" w:cs="宋体"/>
          <w:b/>
          <w:sz w:val="24"/>
        </w:rPr>
        <w:t>比选申请人的比选申请书至少应包括下列内容：</w:t>
      </w:r>
    </w:p>
    <w:p>
      <w:pPr>
        <w:spacing w:line="560" w:lineRule="exact"/>
        <w:ind w:firstLine="480" w:firstLineChars="200"/>
        <w:jc w:val="left"/>
        <w:rPr>
          <w:rFonts w:ascii="宋体" w:hAnsi="宋体" w:cs="宋体"/>
          <w:b/>
          <w:sz w:val="24"/>
        </w:rPr>
      </w:pPr>
      <w:r>
        <w:rPr>
          <w:rFonts w:hint="eastAsia" w:ascii="宋体" w:hAnsi="宋体" w:cs="宋体"/>
          <w:b/>
          <w:sz w:val="24"/>
        </w:rPr>
        <w:t>1、比选申请函</w:t>
      </w:r>
    </w:p>
    <w:p>
      <w:pPr>
        <w:spacing w:line="560" w:lineRule="exact"/>
        <w:ind w:firstLine="480" w:firstLineChars="200"/>
        <w:jc w:val="left"/>
        <w:rPr>
          <w:rFonts w:ascii="宋体" w:hAnsi="宋体" w:cs="宋体"/>
          <w:b/>
          <w:sz w:val="24"/>
        </w:rPr>
      </w:pPr>
      <w:r>
        <w:rPr>
          <w:rFonts w:hint="eastAsia" w:ascii="宋体" w:hAnsi="宋体" w:cs="宋体"/>
          <w:b/>
          <w:sz w:val="24"/>
        </w:rPr>
        <w:t>2、营业执照（副本）或其他有效证照</w:t>
      </w:r>
    </w:p>
    <w:p>
      <w:pPr>
        <w:spacing w:line="560" w:lineRule="exact"/>
        <w:ind w:firstLine="480" w:firstLineChars="200"/>
        <w:jc w:val="left"/>
        <w:rPr>
          <w:rFonts w:ascii="宋体" w:hAnsi="宋体" w:cs="宋体"/>
          <w:b/>
          <w:sz w:val="24"/>
        </w:rPr>
      </w:pPr>
      <w:r>
        <w:rPr>
          <w:rFonts w:hint="eastAsia" w:ascii="宋体" w:hAnsi="宋体" w:cs="宋体"/>
          <w:b/>
          <w:sz w:val="24"/>
        </w:rPr>
        <w:t>3、报价表</w:t>
      </w:r>
    </w:p>
    <w:p>
      <w:pPr>
        <w:spacing w:line="560" w:lineRule="exact"/>
        <w:ind w:firstLine="480" w:firstLineChars="200"/>
        <w:jc w:val="left"/>
        <w:rPr>
          <w:rFonts w:ascii="宋体" w:hAnsi="宋体" w:cs="宋体"/>
          <w:b/>
          <w:sz w:val="24"/>
        </w:rPr>
      </w:pPr>
      <w:r>
        <w:rPr>
          <w:rFonts w:hint="eastAsia" w:ascii="宋体" w:hAnsi="宋体" w:cs="宋体"/>
          <w:b/>
          <w:sz w:val="24"/>
        </w:rPr>
        <w:t>4、法定代表人身份证明书</w:t>
      </w:r>
    </w:p>
    <w:p>
      <w:pPr>
        <w:spacing w:line="560" w:lineRule="exact"/>
        <w:ind w:firstLine="480" w:firstLineChars="200"/>
        <w:jc w:val="left"/>
        <w:rPr>
          <w:rFonts w:ascii="宋体" w:hAnsi="宋体" w:cs="宋体"/>
          <w:b/>
          <w:sz w:val="24"/>
        </w:rPr>
      </w:pPr>
      <w:r>
        <w:rPr>
          <w:rFonts w:hint="eastAsia" w:ascii="宋体" w:hAnsi="宋体" w:cs="宋体"/>
          <w:b/>
          <w:sz w:val="24"/>
        </w:rPr>
        <w:t>5、法定代表人授权委托书</w:t>
      </w:r>
    </w:p>
    <w:p>
      <w:pPr>
        <w:spacing w:line="560" w:lineRule="exact"/>
        <w:ind w:firstLine="480" w:firstLineChars="200"/>
        <w:jc w:val="left"/>
        <w:rPr>
          <w:rFonts w:ascii="宋体" w:hAnsi="宋体" w:cs="宋体"/>
          <w:b/>
          <w:sz w:val="24"/>
        </w:rPr>
      </w:pPr>
      <w:r>
        <w:rPr>
          <w:rFonts w:hint="eastAsia" w:ascii="宋体" w:hAnsi="宋体" w:cs="宋体"/>
          <w:b/>
          <w:sz w:val="24"/>
        </w:rPr>
        <w:t>6、项目实施方案</w:t>
      </w:r>
    </w:p>
    <w:p>
      <w:pPr>
        <w:spacing w:line="560" w:lineRule="exact"/>
        <w:ind w:firstLine="480" w:firstLineChars="200"/>
        <w:jc w:val="left"/>
        <w:rPr>
          <w:rFonts w:ascii="宋体" w:hAnsi="宋体" w:cs="宋体"/>
          <w:sz w:val="24"/>
        </w:rPr>
      </w:pPr>
      <w:r>
        <w:rPr>
          <w:rFonts w:hint="eastAsia" w:ascii="宋体" w:hAnsi="宋体" w:cs="宋体"/>
          <w:b/>
          <w:sz w:val="24"/>
        </w:rPr>
        <w:t>7、商务应答表</w:t>
      </w:r>
    </w:p>
    <w:p>
      <w:pPr>
        <w:spacing w:line="360" w:lineRule="auto"/>
        <w:ind w:firstLine="480" w:firstLineChars="200"/>
        <w:jc w:val="left"/>
        <w:rPr>
          <w:rFonts w:ascii="宋体" w:hAnsi="宋体" w:cs="宋体"/>
          <w:sz w:val="24"/>
        </w:rPr>
      </w:pPr>
      <w:r>
        <w:rPr>
          <w:rFonts w:hint="eastAsia" w:ascii="宋体" w:hAnsi="宋体" w:cs="宋体"/>
          <w:sz w:val="24"/>
        </w:rPr>
        <w:t>注意：比选申请书应用不褪色的墨水书写或打印，并将所有的书面材料装订成册。比选申请文件副本可用正本的复印件，比选文件副本与正本有差异的以正本为准。</w:t>
      </w:r>
      <w:bookmarkStart w:id="27" w:name="_Toc149481871"/>
    </w:p>
    <w:p>
      <w:pPr>
        <w:numPr>
          <w:ilvl w:val="0"/>
          <w:numId w:val="1"/>
        </w:numPr>
        <w:spacing w:line="360" w:lineRule="auto"/>
        <w:ind w:firstLine="480" w:firstLineChars="200"/>
        <w:jc w:val="left"/>
        <w:rPr>
          <w:rFonts w:ascii="宋体" w:hAnsi="宋体" w:cs="宋体"/>
          <w:sz w:val="24"/>
        </w:rPr>
      </w:pPr>
      <w:r>
        <w:rPr>
          <w:rFonts w:hint="eastAsia" w:ascii="宋体" w:hAnsi="宋体" w:cs="宋体"/>
          <w:sz w:val="24"/>
        </w:rPr>
        <w:t>报价</w:t>
      </w:r>
      <w:bookmarkEnd w:id="27"/>
    </w:p>
    <w:p>
      <w:pPr>
        <w:spacing w:line="360" w:lineRule="auto"/>
        <w:ind w:firstLine="480" w:firstLineChars="200"/>
        <w:jc w:val="left"/>
        <w:rPr>
          <w:rFonts w:ascii="宋体" w:hAnsi="宋体" w:cs="宋体"/>
          <w:sz w:val="24"/>
        </w:rPr>
      </w:pPr>
      <w:r>
        <w:rPr>
          <w:rFonts w:hint="eastAsia" w:ascii="宋体" w:hAnsi="宋体" w:cs="宋体"/>
          <w:sz w:val="24"/>
        </w:rPr>
        <w:t>1、比选申请人的报价是比选申请人响应项目要求的全部工作内容的价格体现，包括比选申请人完成本项目所需的一切费用。</w:t>
      </w:r>
    </w:p>
    <w:p>
      <w:pPr>
        <w:spacing w:line="360" w:lineRule="auto"/>
        <w:ind w:firstLine="480" w:firstLineChars="200"/>
        <w:jc w:val="left"/>
        <w:rPr>
          <w:rFonts w:ascii="宋体" w:hAnsi="宋体" w:cs="宋体"/>
          <w:sz w:val="24"/>
        </w:rPr>
      </w:pPr>
      <w:r>
        <w:rPr>
          <w:rFonts w:hint="eastAsia" w:ascii="宋体" w:hAnsi="宋体" w:cs="宋体"/>
          <w:sz w:val="24"/>
        </w:rPr>
        <w:t>2、比选申请人对每一项服务只允许有一个报价，并且在合同履行过程中是固定不变的，任何有选择或可调整的报价将不予接受，并按无效比选申请书处理。</w:t>
      </w:r>
      <w:bookmarkStart w:id="28" w:name="_Toc77742972"/>
      <w:bookmarkStart w:id="29" w:name="_Toc77742800"/>
      <w:bookmarkStart w:id="30" w:name="_Toc149481872"/>
    </w:p>
    <w:p>
      <w:pPr>
        <w:spacing w:line="360" w:lineRule="auto"/>
        <w:ind w:firstLine="480" w:firstLineChars="200"/>
        <w:jc w:val="left"/>
        <w:rPr>
          <w:rFonts w:ascii="宋体" w:hAnsi="宋体" w:cs="宋体"/>
          <w:sz w:val="24"/>
        </w:rPr>
      </w:pPr>
      <w:r>
        <w:rPr>
          <w:rFonts w:hint="eastAsia" w:ascii="宋体" w:hAnsi="宋体" w:cs="宋体"/>
          <w:sz w:val="24"/>
        </w:rPr>
        <w:t>（四）比选申请书提交截止时间的延迟</w:t>
      </w:r>
      <w:bookmarkEnd w:id="28"/>
      <w:bookmarkEnd w:id="29"/>
      <w:bookmarkEnd w:id="30"/>
    </w:p>
    <w:p>
      <w:pPr>
        <w:spacing w:line="360" w:lineRule="auto"/>
        <w:ind w:firstLine="480" w:firstLineChars="200"/>
        <w:jc w:val="left"/>
        <w:rPr>
          <w:rFonts w:ascii="宋体" w:hAnsi="宋体" w:cs="宋体"/>
          <w:sz w:val="24"/>
        </w:rPr>
      </w:pPr>
      <w:r>
        <w:rPr>
          <w:rFonts w:hint="eastAsia" w:ascii="宋体" w:hAnsi="宋体" w:cs="宋体"/>
          <w:sz w:val="24"/>
        </w:rPr>
        <w:t>在比选申请书递交截止时间之前，如果出现特殊情况，需延迟比选申请书递交截止时间的，比选人将以书面形式通知所有获取比选文件的比选申请人。</w:t>
      </w:r>
      <w:bookmarkStart w:id="31" w:name="_Toc77742973"/>
      <w:bookmarkStart w:id="32" w:name="_Toc77742801"/>
      <w:bookmarkStart w:id="33" w:name="_Toc149481873"/>
    </w:p>
    <w:p>
      <w:pPr>
        <w:spacing w:line="360" w:lineRule="auto"/>
        <w:ind w:firstLine="480" w:firstLineChars="200"/>
        <w:jc w:val="left"/>
        <w:rPr>
          <w:rFonts w:ascii="宋体" w:hAnsi="宋体" w:cs="宋体"/>
          <w:sz w:val="24"/>
        </w:rPr>
      </w:pPr>
      <w:r>
        <w:rPr>
          <w:rFonts w:hint="eastAsia" w:ascii="宋体" w:hAnsi="宋体" w:cs="宋体"/>
          <w:sz w:val="24"/>
        </w:rPr>
        <w:t>（五）比选申请书的份数和签署</w:t>
      </w:r>
      <w:bookmarkEnd w:id="31"/>
      <w:bookmarkEnd w:id="32"/>
      <w:bookmarkEnd w:id="33"/>
    </w:p>
    <w:p>
      <w:pPr>
        <w:spacing w:line="360" w:lineRule="auto"/>
        <w:ind w:firstLine="480" w:firstLineChars="200"/>
        <w:jc w:val="left"/>
        <w:rPr>
          <w:rFonts w:ascii="宋体" w:hAnsi="宋体" w:cs="宋体"/>
          <w:sz w:val="24"/>
        </w:rPr>
      </w:pPr>
      <w:r>
        <w:rPr>
          <w:rFonts w:hint="eastAsia" w:ascii="宋体" w:hAnsi="宋体" w:cs="宋体"/>
          <w:sz w:val="24"/>
        </w:rPr>
        <w:t>1、比选申请人编制壹份比选申请书“正本”和壹份“副本”，并标明“正本”、“副本”字样。如正本和副本不一致的，以正本为准。</w:t>
      </w:r>
    </w:p>
    <w:p>
      <w:pPr>
        <w:spacing w:line="360" w:lineRule="auto"/>
        <w:ind w:firstLine="480" w:firstLineChars="200"/>
        <w:jc w:val="left"/>
        <w:rPr>
          <w:rFonts w:ascii="宋体" w:hAnsi="宋体" w:cs="宋体"/>
          <w:sz w:val="24"/>
        </w:rPr>
      </w:pPr>
      <w:r>
        <w:rPr>
          <w:rFonts w:hint="eastAsia" w:ascii="宋体" w:hAnsi="宋体" w:cs="宋体"/>
          <w:sz w:val="24"/>
        </w:rPr>
        <w:t>2、比选申请书的正本、副本应用不褪色墨水书写或打印，比选申请书应按比选文件的要求由比选申请人的法定代表人或其授权的委托代理人签字或加盖比选申请人公章，比选申请书副本可用正本的复印件。</w:t>
      </w:r>
    </w:p>
    <w:p>
      <w:pPr>
        <w:spacing w:line="360" w:lineRule="auto"/>
        <w:ind w:firstLine="480" w:firstLineChars="200"/>
        <w:jc w:val="left"/>
        <w:rPr>
          <w:rFonts w:ascii="宋体" w:hAnsi="宋体" w:cs="宋体"/>
          <w:sz w:val="24"/>
        </w:rPr>
      </w:pPr>
      <w:r>
        <w:rPr>
          <w:rFonts w:hint="eastAsia" w:ascii="宋体" w:hAnsi="宋体" w:cs="宋体"/>
          <w:sz w:val="24"/>
        </w:rPr>
        <w:t>3、比选申请书正本、副本的封面或扉页应标明比选项目名称、正本或副本、比选申请人全称，并加盖比选申请人公章。</w:t>
      </w:r>
      <w:bookmarkStart w:id="34" w:name="_Toc149481874"/>
      <w:bookmarkStart w:id="35" w:name="_Toc77742974"/>
      <w:bookmarkStart w:id="36" w:name="_Toc77742802"/>
    </w:p>
    <w:p>
      <w:pPr>
        <w:spacing w:line="360" w:lineRule="auto"/>
        <w:ind w:firstLine="480" w:firstLineChars="200"/>
        <w:jc w:val="left"/>
        <w:rPr>
          <w:rFonts w:ascii="宋体" w:hAnsi="宋体" w:cs="宋体"/>
          <w:sz w:val="24"/>
        </w:rPr>
      </w:pPr>
      <w:r>
        <w:rPr>
          <w:rFonts w:hint="eastAsia" w:ascii="宋体" w:hAnsi="宋体" w:cs="宋体"/>
          <w:sz w:val="24"/>
        </w:rPr>
        <w:t>（六）比选申请书的密封和递交</w:t>
      </w:r>
      <w:bookmarkEnd w:id="34"/>
      <w:bookmarkEnd w:id="35"/>
      <w:bookmarkEnd w:id="36"/>
    </w:p>
    <w:p>
      <w:pPr>
        <w:spacing w:line="360" w:lineRule="auto"/>
        <w:ind w:firstLine="480" w:firstLineChars="200"/>
        <w:jc w:val="left"/>
        <w:rPr>
          <w:rFonts w:ascii="宋体" w:hAnsi="宋体" w:cs="宋体"/>
          <w:sz w:val="24"/>
        </w:rPr>
      </w:pPr>
      <w:r>
        <w:rPr>
          <w:rFonts w:hint="eastAsia" w:ascii="宋体" w:hAnsi="宋体" w:cs="宋体"/>
          <w:sz w:val="24"/>
        </w:rPr>
        <w:t>1、比选申请人应将比选申请书的正本、副本进行密封包装，可以全部密封在一起，也可以分别密封。</w:t>
      </w:r>
    </w:p>
    <w:p>
      <w:pPr>
        <w:spacing w:line="360" w:lineRule="auto"/>
        <w:ind w:firstLine="480" w:firstLineChars="200"/>
        <w:jc w:val="left"/>
        <w:rPr>
          <w:rFonts w:ascii="宋体" w:hAnsi="宋体" w:cs="宋体"/>
          <w:sz w:val="24"/>
        </w:rPr>
      </w:pPr>
      <w:r>
        <w:rPr>
          <w:rFonts w:hint="eastAsia" w:ascii="宋体" w:hAnsi="宋体" w:cs="宋体"/>
          <w:sz w:val="24"/>
        </w:rPr>
        <w:t xml:space="preserve">2、比选申请书递交时所有的密封袋上至少应标明比选项目名称、比选申请人全称，并加盖比选申请人公章。 </w:t>
      </w:r>
    </w:p>
    <w:p>
      <w:pPr>
        <w:spacing w:line="360" w:lineRule="auto"/>
        <w:ind w:firstLine="480" w:firstLineChars="200"/>
        <w:jc w:val="left"/>
        <w:rPr>
          <w:rFonts w:ascii="宋体" w:hAnsi="宋体" w:cs="宋体"/>
          <w:sz w:val="24"/>
        </w:rPr>
      </w:pPr>
      <w:r>
        <w:rPr>
          <w:rFonts w:hint="eastAsia" w:ascii="宋体" w:hAnsi="宋体" w:cs="宋体"/>
          <w:sz w:val="24"/>
        </w:rPr>
        <w:t>3、比选人可以按本须知规定，以补充通知的方式，延迟递交比选申请书的截止时间。如延迟递交比选申请书的截止时间，则比选申请人应在书面通知的提交比选申请书截止时间前，将比选申请书送达比选人。</w:t>
      </w:r>
    </w:p>
    <w:p>
      <w:pPr>
        <w:spacing w:line="360" w:lineRule="auto"/>
        <w:ind w:firstLine="480" w:firstLineChars="200"/>
        <w:jc w:val="left"/>
        <w:rPr>
          <w:rFonts w:ascii="宋体" w:hAnsi="宋体" w:cs="宋体"/>
          <w:sz w:val="24"/>
        </w:rPr>
      </w:pPr>
      <w:r>
        <w:rPr>
          <w:rFonts w:hint="eastAsia" w:ascii="宋体" w:hAnsi="宋体" w:cs="宋体"/>
          <w:sz w:val="24"/>
        </w:rPr>
        <w:t>4、如果比选申请人未按上述要求密封、标记，比选申请书将被拒收。</w:t>
      </w:r>
      <w:bookmarkStart w:id="37" w:name="_Toc149481877"/>
      <w:bookmarkStart w:id="38" w:name="_Toc77742977"/>
      <w:bookmarkStart w:id="39" w:name="_Toc77742805"/>
    </w:p>
    <w:p>
      <w:pPr>
        <w:spacing w:line="360" w:lineRule="auto"/>
        <w:ind w:firstLine="480" w:firstLineChars="200"/>
        <w:jc w:val="left"/>
        <w:rPr>
          <w:rFonts w:ascii="宋体" w:hAnsi="宋体" w:cs="宋体"/>
          <w:sz w:val="24"/>
        </w:rPr>
      </w:pPr>
      <w:r>
        <w:rPr>
          <w:rFonts w:hint="eastAsia" w:ascii="宋体" w:hAnsi="宋体" w:cs="宋体"/>
          <w:sz w:val="24"/>
        </w:rPr>
        <w:t>（七）比选申请书的修改与撤回</w:t>
      </w:r>
      <w:bookmarkEnd w:id="37"/>
      <w:bookmarkEnd w:id="38"/>
      <w:bookmarkEnd w:id="39"/>
    </w:p>
    <w:p>
      <w:pPr>
        <w:spacing w:line="360" w:lineRule="auto"/>
        <w:ind w:firstLine="480" w:firstLineChars="200"/>
        <w:jc w:val="left"/>
        <w:rPr>
          <w:rFonts w:ascii="宋体" w:hAnsi="宋体" w:cs="宋体"/>
          <w:sz w:val="24"/>
        </w:rPr>
      </w:pPr>
      <w:r>
        <w:rPr>
          <w:rFonts w:hint="eastAsia" w:ascii="宋体" w:hAnsi="宋体" w:cs="宋体"/>
          <w:sz w:val="24"/>
        </w:rPr>
        <w:t>1、比选申请人递交比选申请书以后，可以在规定的比选申请书递交截止期之前，以书面形式向比选人递交补充、修改或撤回其比选申请书的通知。在截止期以后，不得更改比选申请书。</w:t>
      </w:r>
    </w:p>
    <w:p>
      <w:pPr>
        <w:spacing w:line="360" w:lineRule="auto"/>
        <w:ind w:firstLine="480" w:firstLineChars="200"/>
        <w:jc w:val="left"/>
        <w:rPr>
          <w:rFonts w:ascii="宋体" w:hAnsi="宋体" w:cs="宋体"/>
          <w:sz w:val="24"/>
        </w:rPr>
      </w:pPr>
      <w:r>
        <w:rPr>
          <w:rFonts w:hint="eastAsia" w:ascii="宋体" w:hAnsi="宋体" w:cs="宋体"/>
          <w:sz w:val="24"/>
        </w:rPr>
        <w:t>2、比选申请人的补充、修改或撤回通知，应按本须知的有关规定进行编制、密封、标识和递交。</w:t>
      </w:r>
    </w:p>
    <w:p>
      <w:pPr>
        <w:spacing w:line="360" w:lineRule="auto"/>
        <w:ind w:firstLine="480" w:firstLineChars="200"/>
        <w:jc w:val="left"/>
        <w:rPr>
          <w:rFonts w:ascii="宋体" w:hAnsi="宋体" w:cs="宋体"/>
          <w:sz w:val="24"/>
        </w:rPr>
      </w:pPr>
      <w:r>
        <w:rPr>
          <w:rFonts w:hint="eastAsia" w:ascii="宋体" w:hAnsi="宋体" w:cs="宋体"/>
          <w:sz w:val="24"/>
        </w:rPr>
        <w:t>3、递交比选申请书截止期以后，比选申请人不得撤回比选申请书。</w:t>
      </w:r>
      <w:bookmarkStart w:id="40" w:name="_Toc77742806"/>
      <w:bookmarkStart w:id="41" w:name="_Toc77742978"/>
      <w:bookmarkStart w:id="42" w:name="_Toc149481878"/>
      <w:bookmarkStart w:id="43" w:name="_Toc425509576"/>
    </w:p>
    <w:p>
      <w:pPr>
        <w:spacing w:line="360" w:lineRule="auto"/>
        <w:ind w:firstLine="480" w:firstLineChars="200"/>
        <w:jc w:val="left"/>
        <w:rPr>
          <w:rFonts w:ascii="宋体" w:hAnsi="宋体" w:cs="宋体"/>
          <w:sz w:val="24"/>
        </w:rPr>
      </w:pPr>
      <w:r>
        <w:rPr>
          <w:rFonts w:hint="eastAsia" w:ascii="宋体" w:hAnsi="宋体" w:cs="宋体"/>
          <w:sz w:val="24"/>
        </w:rPr>
        <w:t>（八）评比</w:t>
      </w:r>
      <w:bookmarkEnd w:id="40"/>
      <w:bookmarkEnd w:id="41"/>
      <w:bookmarkEnd w:id="42"/>
      <w:bookmarkEnd w:id="43"/>
      <w:bookmarkStart w:id="44" w:name="_Toc149481879"/>
      <w:bookmarkStart w:id="45" w:name="_Toc77742979"/>
      <w:bookmarkStart w:id="46" w:name="_Toc77742807"/>
    </w:p>
    <w:p>
      <w:pPr>
        <w:spacing w:line="360" w:lineRule="auto"/>
        <w:ind w:firstLine="480" w:firstLineChars="200"/>
        <w:jc w:val="left"/>
        <w:rPr>
          <w:rFonts w:ascii="宋体" w:hAnsi="宋体" w:cs="宋体"/>
          <w:sz w:val="24"/>
        </w:rPr>
      </w:pPr>
      <w:r>
        <w:rPr>
          <w:rFonts w:hint="eastAsia" w:ascii="宋体" w:hAnsi="宋体" w:cs="宋体"/>
          <w:sz w:val="24"/>
        </w:rPr>
        <w:t>1、比选工作</w:t>
      </w:r>
      <w:bookmarkEnd w:id="44"/>
      <w:bookmarkEnd w:id="45"/>
      <w:bookmarkEnd w:id="46"/>
    </w:p>
    <w:p>
      <w:pPr>
        <w:spacing w:line="360" w:lineRule="auto"/>
        <w:ind w:firstLine="480" w:firstLineChars="200"/>
        <w:jc w:val="left"/>
        <w:rPr>
          <w:rFonts w:ascii="宋体" w:hAnsi="宋体" w:cs="宋体"/>
          <w:sz w:val="24"/>
        </w:rPr>
      </w:pPr>
      <w:r>
        <w:rPr>
          <w:rFonts w:hint="eastAsia" w:ascii="宋体" w:hAnsi="宋体" w:cs="宋体"/>
          <w:sz w:val="24"/>
        </w:rPr>
        <w:t>1）比选申请人应在递交比选申请书截止时间前，将密封后的比选申请书提交比选人，由比选人组建的评比小组进行评审。</w:t>
      </w:r>
    </w:p>
    <w:p>
      <w:pPr>
        <w:spacing w:line="360" w:lineRule="auto"/>
        <w:ind w:firstLine="480" w:firstLineChars="200"/>
        <w:jc w:val="left"/>
        <w:rPr>
          <w:rFonts w:ascii="宋体" w:hAnsi="宋体" w:cs="宋体"/>
          <w:sz w:val="24"/>
        </w:rPr>
      </w:pPr>
      <w:r>
        <w:rPr>
          <w:rFonts w:hint="eastAsia" w:ascii="宋体" w:hAnsi="宋体" w:cs="宋体"/>
          <w:sz w:val="24"/>
        </w:rPr>
        <w:t>2）在截止时间过后送达的比选申请书不予受理。</w:t>
      </w:r>
    </w:p>
    <w:p>
      <w:pPr>
        <w:spacing w:line="360" w:lineRule="auto"/>
        <w:ind w:firstLine="480" w:firstLineChars="200"/>
        <w:jc w:val="left"/>
        <w:rPr>
          <w:rFonts w:ascii="宋体" w:hAnsi="宋体" w:cs="宋体"/>
          <w:sz w:val="24"/>
        </w:rPr>
      </w:pPr>
      <w:r>
        <w:rPr>
          <w:rFonts w:hint="eastAsia" w:ascii="宋体" w:hAnsi="宋体" w:cs="宋体"/>
          <w:sz w:val="24"/>
        </w:rPr>
        <w:t>3）比选申请书在有关监督部门在场的情况下当场开封。</w:t>
      </w:r>
      <w:bookmarkStart w:id="47" w:name="_Toc77742980"/>
      <w:bookmarkStart w:id="48" w:name="_Toc77742808"/>
      <w:bookmarkStart w:id="49" w:name="_Toc149481880"/>
    </w:p>
    <w:p>
      <w:pPr>
        <w:spacing w:line="360" w:lineRule="auto"/>
        <w:ind w:firstLine="480" w:firstLineChars="200"/>
        <w:jc w:val="left"/>
        <w:rPr>
          <w:rFonts w:ascii="宋体" w:hAnsi="宋体" w:cs="宋体"/>
          <w:sz w:val="24"/>
        </w:rPr>
      </w:pPr>
      <w:r>
        <w:rPr>
          <w:rFonts w:hint="eastAsia" w:ascii="宋体" w:hAnsi="宋体" w:cs="宋体"/>
          <w:sz w:val="24"/>
        </w:rPr>
        <w:t>2、</w:t>
      </w:r>
      <w:bookmarkEnd w:id="47"/>
      <w:bookmarkEnd w:id="48"/>
      <w:bookmarkEnd w:id="49"/>
      <w:r>
        <w:rPr>
          <w:rFonts w:hint="eastAsia" w:ascii="宋体" w:hAnsi="宋体" w:cs="宋体"/>
          <w:sz w:val="24"/>
        </w:rPr>
        <w:t>评比小组</w:t>
      </w:r>
    </w:p>
    <w:p>
      <w:pPr>
        <w:spacing w:line="360" w:lineRule="auto"/>
        <w:ind w:firstLine="480" w:firstLineChars="200"/>
        <w:jc w:val="left"/>
        <w:rPr>
          <w:rFonts w:ascii="宋体" w:hAnsi="宋体" w:cs="宋体"/>
          <w:sz w:val="24"/>
        </w:rPr>
      </w:pPr>
      <w:r>
        <w:rPr>
          <w:rFonts w:hint="eastAsia" w:ascii="宋体" w:hAnsi="宋体" w:cs="宋体"/>
          <w:sz w:val="24"/>
        </w:rPr>
        <w:t>1）</w:t>
      </w:r>
      <w:bookmarkStart w:id="50" w:name="_Toc149481881"/>
      <w:bookmarkStart w:id="51" w:name="_Toc77742981"/>
      <w:bookmarkStart w:id="52" w:name="_Toc77742809"/>
      <w:r>
        <w:rPr>
          <w:rFonts w:hint="eastAsia" w:ascii="宋体" w:hAnsi="宋体" w:cs="宋体"/>
          <w:sz w:val="24"/>
        </w:rPr>
        <w:t>评比小组对各比选申请人的比选申请文件进行评审。</w:t>
      </w:r>
    </w:p>
    <w:p>
      <w:pPr>
        <w:spacing w:line="360" w:lineRule="auto"/>
        <w:ind w:firstLine="480" w:firstLineChars="200"/>
        <w:jc w:val="left"/>
        <w:rPr>
          <w:rFonts w:ascii="宋体" w:hAnsi="宋体" w:cs="宋体"/>
          <w:sz w:val="24"/>
        </w:rPr>
      </w:pPr>
      <w:r>
        <w:rPr>
          <w:rFonts w:hint="eastAsia" w:ascii="宋体" w:hAnsi="宋体" w:cs="宋体"/>
          <w:sz w:val="24"/>
        </w:rPr>
        <w:t>3、评比程序</w:t>
      </w:r>
      <w:bookmarkEnd w:id="50"/>
      <w:bookmarkEnd w:id="51"/>
      <w:bookmarkEnd w:id="52"/>
    </w:p>
    <w:p>
      <w:pPr>
        <w:spacing w:line="360" w:lineRule="auto"/>
        <w:ind w:firstLine="480" w:firstLineChars="200"/>
        <w:jc w:val="left"/>
        <w:rPr>
          <w:rFonts w:ascii="宋体" w:hAnsi="宋体" w:cs="宋体"/>
          <w:sz w:val="24"/>
        </w:rPr>
      </w:pPr>
      <w:r>
        <w:rPr>
          <w:rFonts w:hint="eastAsia" w:ascii="宋体" w:hAnsi="宋体" w:cs="宋体"/>
          <w:sz w:val="24"/>
        </w:rPr>
        <w:t>1）比选人在有关学校监督人员的监督下，查验比选申请人提交的比选申请书是否按比选文件的要求进行标记和密封，并对所有合格的比选申请书予以启封。</w:t>
      </w:r>
    </w:p>
    <w:p>
      <w:pPr>
        <w:spacing w:line="360" w:lineRule="auto"/>
        <w:ind w:firstLine="480" w:firstLineChars="200"/>
        <w:jc w:val="left"/>
        <w:rPr>
          <w:rFonts w:ascii="宋体" w:hAnsi="宋体" w:cs="宋体"/>
          <w:sz w:val="24"/>
        </w:rPr>
      </w:pPr>
      <w:r>
        <w:rPr>
          <w:rFonts w:hint="eastAsia" w:ascii="宋体" w:hAnsi="宋体" w:cs="宋体"/>
          <w:sz w:val="24"/>
        </w:rPr>
        <w:t>2）资格、符合性审查</w:t>
      </w:r>
    </w:p>
    <w:p>
      <w:pPr>
        <w:spacing w:line="360" w:lineRule="auto"/>
        <w:ind w:firstLine="480" w:firstLineChars="200"/>
        <w:jc w:val="left"/>
        <w:rPr>
          <w:rFonts w:ascii="宋体" w:hAnsi="宋体" w:cs="宋体"/>
          <w:sz w:val="24"/>
        </w:rPr>
      </w:pPr>
      <w:r>
        <w:rPr>
          <w:rFonts w:hint="eastAsia" w:ascii="宋体" w:hAnsi="宋体" w:cs="宋体"/>
          <w:sz w:val="24"/>
        </w:rPr>
        <w:t xml:space="preserve">  只有资格、符合性审查合格的比选申请人比选申请书才能进入下一评比程序。</w:t>
      </w:r>
      <w:bookmarkStart w:id="53" w:name="_Toc77742982"/>
      <w:bookmarkStart w:id="54" w:name="_Toc77742810"/>
      <w:bookmarkStart w:id="55" w:name="_Toc149481882"/>
    </w:p>
    <w:p>
      <w:pPr>
        <w:spacing w:line="360" w:lineRule="auto"/>
        <w:ind w:firstLine="480" w:firstLineChars="200"/>
        <w:jc w:val="left"/>
        <w:rPr>
          <w:rFonts w:ascii="宋体" w:hAnsi="宋体" w:cs="宋体"/>
          <w:sz w:val="24"/>
        </w:rPr>
      </w:pPr>
      <w:r>
        <w:rPr>
          <w:rFonts w:hint="eastAsia" w:ascii="宋体" w:hAnsi="宋体" w:cs="宋体"/>
          <w:sz w:val="24"/>
        </w:rPr>
        <w:t>（九）比选申请书的澄清</w:t>
      </w:r>
      <w:bookmarkEnd w:id="53"/>
      <w:bookmarkEnd w:id="54"/>
      <w:bookmarkEnd w:id="55"/>
    </w:p>
    <w:p>
      <w:pPr>
        <w:spacing w:line="360" w:lineRule="auto"/>
        <w:ind w:firstLine="480" w:firstLineChars="200"/>
        <w:jc w:val="left"/>
        <w:rPr>
          <w:rFonts w:ascii="宋体" w:hAnsi="宋体" w:cs="宋体"/>
          <w:sz w:val="24"/>
        </w:rPr>
      </w:pPr>
      <w:r>
        <w:rPr>
          <w:rFonts w:hint="eastAsia" w:ascii="宋体" w:hAnsi="宋体" w:cs="宋体"/>
          <w:sz w:val="24"/>
        </w:rPr>
        <w:t>评比小组可以要求比选申请人用书面方式对比选申请书中含义不明确、对同类问题表述不一致的内容作必要的澄清、说明或补正，但不得超出比选申请书范围或者改变比选申请书的实质性内容。</w:t>
      </w:r>
      <w:bookmarkStart w:id="56" w:name="_Toc77742811"/>
      <w:bookmarkStart w:id="57" w:name="_Toc149481883"/>
      <w:bookmarkStart w:id="58" w:name="_Toc77742983"/>
    </w:p>
    <w:p>
      <w:pPr>
        <w:spacing w:line="360" w:lineRule="auto"/>
        <w:ind w:firstLine="480" w:firstLineChars="200"/>
        <w:jc w:val="left"/>
        <w:rPr>
          <w:rFonts w:ascii="宋体" w:hAnsi="宋体" w:cs="宋体"/>
          <w:sz w:val="24"/>
        </w:rPr>
      </w:pPr>
      <w:r>
        <w:rPr>
          <w:rFonts w:hint="eastAsia" w:ascii="宋体" w:hAnsi="宋体" w:cs="宋体"/>
          <w:sz w:val="24"/>
        </w:rPr>
        <w:t>（十）评比办法及标准</w:t>
      </w:r>
      <w:bookmarkEnd w:id="56"/>
      <w:bookmarkEnd w:id="57"/>
      <w:bookmarkEnd w:id="58"/>
    </w:p>
    <w:p>
      <w:pPr>
        <w:spacing w:line="360" w:lineRule="auto"/>
        <w:ind w:firstLine="480" w:firstLineChars="200"/>
        <w:jc w:val="left"/>
        <w:rPr>
          <w:rFonts w:ascii="宋体" w:hAnsi="宋体" w:cs="宋体"/>
          <w:sz w:val="24"/>
        </w:rPr>
      </w:pPr>
      <w:r>
        <w:rPr>
          <w:rFonts w:hint="eastAsia" w:ascii="宋体" w:hAnsi="宋体" w:cs="宋体"/>
          <w:sz w:val="24"/>
        </w:rPr>
        <w:t>评比办法及评比标准见第四章。</w:t>
      </w:r>
      <w:bookmarkStart w:id="59" w:name="_Toc149481884"/>
      <w:bookmarkStart w:id="60" w:name="_Toc77742984"/>
      <w:bookmarkStart w:id="61" w:name="_Toc77742812"/>
      <w:bookmarkStart w:id="62" w:name="_Toc425509577"/>
    </w:p>
    <w:p>
      <w:pPr>
        <w:spacing w:line="360" w:lineRule="auto"/>
        <w:ind w:firstLine="480" w:firstLineChars="200"/>
        <w:jc w:val="left"/>
        <w:rPr>
          <w:rFonts w:ascii="宋体" w:hAnsi="宋体" w:cs="宋体"/>
          <w:sz w:val="24"/>
        </w:rPr>
      </w:pPr>
      <w:r>
        <w:rPr>
          <w:rFonts w:hint="eastAsia" w:ascii="宋体" w:hAnsi="宋体" w:cs="宋体"/>
          <w:sz w:val="24"/>
        </w:rPr>
        <w:t>（十一）中选候选人的</w:t>
      </w:r>
      <w:bookmarkEnd w:id="59"/>
      <w:bookmarkEnd w:id="60"/>
      <w:bookmarkEnd w:id="61"/>
      <w:bookmarkEnd w:id="62"/>
      <w:r>
        <w:rPr>
          <w:rFonts w:hint="eastAsia" w:ascii="宋体" w:hAnsi="宋体" w:cs="宋体"/>
          <w:sz w:val="24"/>
        </w:rPr>
        <w:t>推荐</w:t>
      </w:r>
    </w:p>
    <w:p>
      <w:pPr>
        <w:spacing w:line="360" w:lineRule="auto"/>
        <w:ind w:firstLine="480" w:firstLineChars="200"/>
        <w:jc w:val="left"/>
        <w:rPr>
          <w:rFonts w:ascii="宋体" w:hAnsi="宋体" w:cs="宋体"/>
          <w:sz w:val="24"/>
        </w:rPr>
      </w:pPr>
      <w:bookmarkStart w:id="63" w:name="_Toc149481885"/>
      <w:bookmarkStart w:id="64" w:name="_Toc77742813"/>
      <w:bookmarkStart w:id="65" w:name="_Toc425509578"/>
      <w:bookmarkStart w:id="66" w:name="_Toc77742985"/>
      <w:r>
        <w:rPr>
          <w:rFonts w:hint="eastAsia" w:ascii="宋体" w:hAnsi="宋体" w:cs="宋体"/>
          <w:sz w:val="24"/>
        </w:rPr>
        <w:t>按通过资格、符合性审查的比选申请人的评分由高到低推荐3名中选候选人。</w:t>
      </w:r>
    </w:p>
    <w:p>
      <w:pPr>
        <w:spacing w:line="360" w:lineRule="auto"/>
        <w:ind w:firstLine="480" w:firstLineChars="200"/>
        <w:jc w:val="left"/>
        <w:rPr>
          <w:rFonts w:ascii="宋体" w:hAnsi="宋体" w:cs="宋体"/>
          <w:sz w:val="24"/>
        </w:rPr>
      </w:pPr>
      <w:r>
        <w:rPr>
          <w:rFonts w:hint="eastAsia" w:ascii="宋体" w:hAnsi="宋体" w:cs="宋体"/>
          <w:sz w:val="24"/>
        </w:rPr>
        <w:t>（十二）中选通知书</w:t>
      </w:r>
      <w:bookmarkEnd w:id="63"/>
      <w:bookmarkEnd w:id="64"/>
      <w:bookmarkEnd w:id="65"/>
      <w:bookmarkEnd w:id="66"/>
    </w:p>
    <w:p>
      <w:pPr>
        <w:spacing w:line="360" w:lineRule="auto"/>
        <w:ind w:firstLine="480" w:firstLineChars="200"/>
        <w:jc w:val="left"/>
        <w:rPr>
          <w:rFonts w:ascii="宋体" w:hAnsi="宋体" w:cs="宋体"/>
          <w:sz w:val="24"/>
        </w:rPr>
      </w:pPr>
      <w:r>
        <w:rPr>
          <w:rFonts w:hint="eastAsia" w:ascii="宋体" w:hAnsi="宋体" w:cs="宋体"/>
          <w:sz w:val="24"/>
        </w:rPr>
        <w:t>在比选申请书有效期满之前，四川省成都市</w:t>
      </w:r>
      <w:r>
        <w:rPr>
          <w:rFonts w:hint="eastAsia" w:ascii="宋体" w:hAnsi="宋体" w:cs="宋体"/>
          <w:sz w:val="24"/>
          <w:lang w:eastAsia="zh-Hans"/>
        </w:rPr>
        <w:t>第七中学初中学校</w:t>
      </w:r>
      <w:r>
        <w:rPr>
          <w:rFonts w:hint="eastAsia" w:ascii="宋体" w:hAnsi="宋体" w:cs="宋体"/>
          <w:sz w:val="24"/>
        </w:rPr>
        <w:t>以书面方式向中选人发出中选通知书。</w:t>
      </w:r>
    </w:p>
    <w:p>
      <w:pPr>
        <w:spacing w:line="360" w:lineRule="auto"/>
        <w:ind w:firstLine="480" w:firstLineChars="200"/>
        <w:jc w:val="left"/>
        <w:rPr>
          <w:rFonts w:ascii="宋体" w:hAnsi="宋体" w:cs="宋体"/>
          <w:b/>
          <w:sz w:val="32"/>
          <w:szCs w:val="32"/>
        </w:rPr>
      </w:pPr>
      <w:r>
        <w:rPr>
          <w:rFonts w:hint="eastAsia" w:ascii="宋体" w:hAnsi="宋体" w:cs="宋体"/>
          <w:sz w:val="24"/>
        </w:rPr>
        <w:t>中选通知书为签订合同的依据。</w:t>
      </w:r>
      <w:bookmarkStart w:id="67" w:name="_Toc425509579"/>
    </w:p>
    <w:p>
      <w:pPr>
        <w:ind w:firstLine="641" w:firstLineChars="200"/>
        <w:jc w:val="center"/>
        <w:rPr>
          <w:rFonts w:ascii="宋体" w:hAnsi="宋体" w:cs="宋体"/>
          <w:b/>
          <w:sz w:val="32"/>
          <w:szCs w:val="32"/>
        </w:rPr>
      </w:pPr>
    </w:p>
    <w:p>
      <w:pPr>
        <w:jc w:val="center"/>
        <w:outlineLvl w:val="0"/>
        <w:rPr>
          <w:rFonts w:ascii="宋体" w:hAnsi="宋体" w:cs="宋体"/>
        </w:rPr>
      </w:pPr>
      <w:r>
        <w:rPr>
          <w:rFonts w:hint="eastAsia" w:ascii="宋体" w:hAnsi="宋体" w:cs="宋体"/>
          <w:b/>
          <w:sz w:val="32"/>
          <w:szCs w:val="32"/>
        </w:rPr>
        <w:br w:type="page"/>
      </w:r>
      <w:bookmarkStart w:id="68" w:name="_Toc425509591"/>
      <w:bookmarkStart w:id="69" w:name="_Toc9607_WPSOffice_Level1"/>
      <w:bookmarkStart w:id="70" w:name="_Toc7623"/>
      <w:r>
        <w:rPr>
          <w:rFonts w:hint="eastAsia" w:ascii="宋体" w:hAnsi="宋体" w:cs="宋体"/>
          <w:b/>
          <w:sz w:val="32"/>
          <w:szCs w:val="32"/>
        </w:rPr>
        <w:t>第三部分 技术、服务、商务及其他要求</w:t>
      </w:r>
      <w:bookmarkEnd w:id="68"/>
      <w:bookmarkEnd w:id="69"/>
      <w:bookmarkEnd w:id="70"/>
      <w:bookmarkStart w:id="71" w:name="_Toc425509596"/>
    </w:p>
    <w:p>
      <w:pPr>
        <w:numPr>
          <w:ilvl w:val="0"/>
          <w:numId w:val="2"/>
        </w:numPr>
        <w:spacing w:line="560" w:lineRule="exact"/>
        <w:outlineLvl w:val="0"/>
        <w:rPr>
          <w:rFonts w:ascii="宋体" w:hAnsi="宋体" w:cs="宋体"/>
          <w:b/>
          <w:sz w:val="22"/>
        </w:rPr>
      </w:pPr>
      <w:bookmarkStart w:id="72" w:name="_Toc440028954"/>
      <w:bookmarkStart w:id="73" w:name="_Toc414266428"/>
      <w:bookmarkStart w:id="74" w:name="_Toc414614594"/>
      <w:bookmarkStart w:id="75" w:name="_Toc22449"/>
      <w:bookmarkStart w:id="76" w:name="_Toc415823318"/>
      <w:bookmarkStart w:id="77" w:name="_Toc425932183"/>
      <w:bookmarkStart w:id="78" w:name="_Toc427150267"/>
      <w:bookmarkStart w:id="79" w:name="_Toc414266274"/>
      <w:bookmarkStart w:id="80" w:name="_Toc425932182"/>
      <w:bookmarkStart w:id="81" w:name="_Toc414266427"/>
      <w:bookmarkStart w:id="82" w:name="_Toc414614593"/>
      <w:bookmarkStart w:id="83" w:name="_Toc414266273"/>
      <w:bookmarkStart w:id="84" w:name="_Toc440028953"/>
      <w:bookmarkStart w:id="85" w:name="_Toc427150266"/>
      <w:bookmarkStart w:id="86" w:name="_Toc415823317"/>
      <w:bookmarkStart w:id="87" w:name="_Toc25824"/>
      <w:r>
        <w:rPr>
          <w:rFonts w:hint="eastAsia" w:ascii="宋体" w:hAnsi="宋体" w:cs="宋体"/>
          <w:b/>
          <w:sz w:val="22"/>
        </w:rPr>
        <w:t>项目概况</w:t>
      </w:r>
      <w:bookmarkEnd w:id="72"/>
      <w:bookmarkEnd w:id="73"/>
      <w:bookmarkEnd w:id="74"/>
      <w:bookmarkEnd w:id="75"/>
      <w:bookmarkEnd w:id="76"/>
      <w:bookmarkEnd w:id="77"/>
      <w:bookmarkEnd w:id="78"/>
      <w:bookmarkEnd w:id="79"/>
    </w:p>
    <w:p>
      <w:pPr>
        <w:widowControl/>
        <w:spacing w:line="560" w:lineRule="exact"/>
        <w:ind w:firstLine="480" w:firstLineChars="200"/>
        <w:jc w:val="left"/>
        <w:rPr>
          <w:rFonts w:ascii="宋体" w:hAnsi="宋体" w:cs="宋体"/>
          <w:sz w:val="24"/>
        </w:rPr>
      </w:pPr>
      <w:r>
        <w:rPr>
          <w:rFonts w:hint="eastAsia" w:ascii="宋体" w:hAnsi="宋体" w:cs="宋体"/>
          <w:sz w:val="24"/>
        </w:rPr>
        <w:t>本次项目采购设备用于</w:t>
      </w:r>
      <w:r>
        <w:rPr>
          <w:rFonts w:hint="eastAsia" w:ascii="宋体" w:hAnsi="宋体" w:cs="宋体"/>
          <w:sz w:val="24"/>
          <w:lang w:eastAsia="zh-Hans"/>
        </w:rPr>
        <w:t>成都七中初中学校天环校区</w:t>
      </w:r>
      <w:r>
        <w:rPr>
          <w:rFonts w:hint="eastAsia" w:ascii="宋体" w:hAnsi="宋体" w:cs="宋体"/>
          <w:sz w:val="24"/>
        </w:rPr>
        <w:t>，建设用于对接直录播教室。根据现状和需求分析，并考虑未来业务扩展及实施可行性，此次方案主要考虑以下原则：</w:t>
      </w:r>
    </w:p>
    <w:p>
      <w:pPr>
        <w:widowControl/>
        <w:spacing w:line="560" w:lineRule="exact"/>
        <w:ind w:firstLine="480" w:firstLineChars="200"/>
        <w:jc w:val="left"/>
        <w:rPr>
          <w:rFonts w:ascii="宋体" w:hAnsi="宋体" w:cs="宋体"/>
          <w:sz w:val="24"/>
        </w:rPr>
      </w:pPr>
      <w:r>
        <w:rPr>
          <w:rFonts w:hint="eastAsia" w:ascii="宋体" w:hAnsi="宋体" w:cs="宋体"/>
          <w:sz w:val="24"/>
        </w:rPr>
        <w:t>产品技术的先进性——采用业界先进的技术。</w:t>
      </w:r>
    </w:p>
    <w:p>
      <w:pPr>
        <w:widowControl/>
        <w:spacing w:line="560" w:lineRule="exact"/>
        <w:ind w:firstLine="480" w:firstLineChars="200"/>
        <w:jc w:val="left"/>
        <w:rPr>
          <w:rFonts w:ascii="宋体" w:hAnsi="宋体" w:cs="宋体"/>
          <w:sz w:val="24"/>
        </w:rPr>
      </w:pPr>
      <w:r>
        <w:rPr>
          <w:rFonts w:hint="eastAsia" w:ascii="宋体" w:hAnsi="宋体" w:cs="宋体"/>
          <w:sz w:val="24"/>
        </w:rPr>
        <w:t>设备易维护——设备通过简单配置即可部署、实施、后期管控。</w:t>
      </w:r>
    </w:p>
    <w:p>
      <w:pPr>
        <w:widowControl/>
        <w:spacing w:line="560" w:lineRule="exact"/>
        <w:ind w:firstLine="480" w:firstLineChars="200"/>
        <w:jc w:val="left"/>
        <w:rPr>
          <w:rFonts w:ascii="宋体" w:hAnsi="宋体" w:cs="宋体"/>
          <w:sz w:val="24"/>
        </w:rPr>
      </w:pPr>
      <w:r>
        <w:rPr>
          <w:rFonts w:hint="eastAsia" w:ascii="宋体" w:hAnsi="宋体" w:cs="宋体"/>
          <w:sz w:val="24"/>
        </w:rPr>
        <w:t>管理方便、易维护、与云教平台能良好的兼容。使用远程控制系统时，能保障学校设备的安全性</w:t>
      </w:r>
    </w:p>
    <w:p>
      <w:pPr>
        <w:widowControl/>
        <w:spacing w:line="560" w:lineRule="exact"/>
        <w:ind w:firstLine="480" w:firstLineChars="200"/>
        <w:jc w:val="left"/>
        <w:rPr>
          <w:rFonts w:ascii="宋体" w:hAnsi="宋体" w:cs="宋体"/>
          <w:sz w:val="24"/>
        </w:rPr>
      </w:pPr>
      <w:r>
        <w:rPr>
          <w:rFonts w:hint="eastAsia" w:ascii="宋体" w:hAnsi="宋体" w:cs="宋体"/>
          <w:sz w:val="24"/>
          <w:lang w:eastAsia="zh-Hans"/>
        </w:rPr>
        <w:t>四川省成都市第七中学初中学校</w:t>
      </w:r>
      <w:r>
        <w:rPr>
          <w:rFonts w:hint="eastAsia" w:ascii="宋体" w:hAnsi="宋体" w:cs="宋体"/>
          <w:sz w:val="24"/>
        </w:rPr>
        <w:t>拟确定1家供应商为</w:t>
      </w:r>
      <w:r>
        <w:rPr>
          <w:rFonts w:hint="eastAsia" w:ascii="宋体" w:hAnsi="宋体" w:cs="宋体"/>
          <w:sz w:val="24"/>
          <w:u w:val="single"/>
          <w:lang w:eastAsia="zh-Hans"/>
        </w:rPr>
        <w:t>成都七中初中学校</w:t>
      </w:r>
      <w:r>
        <w:rPr>
          <w:rFonts w:hint="eastAsia" w:ascii="宋体" w:hAnsi="宋体" w:cs="宋体"/>
          <w:sz w:val="24"/>
          <w:u w:val="single"/>
        </w:rPr>
        <w:t>直录播教室设备采购项目</w:t>
      </w:r>
      <w:r>
        <w:rPr>
          <w:rFonts w:hint="eastAsia" w:ascii="宋体" w:hAnsi="宋体" w:cs="宋体"/>
          <w:sz w:val="24"/>
        </w:rPr>
        <w:t>建设提供服务。</w:t>
      </w:r>
      <w:bookmarkEnd w:id="80"/>
      <w:bookmarkEnd w:id="81"/>
      <w:bookmarkEnd w:id="82"/>
      <w:bookmarkEnd w:id="83"/>
      <w:bookmarkEnd w:id="84"/>
      <w:bookmarkEnd w:id="85"/>
      <w:bookmarkEnd w:id="86"/>
    </w:p>
    <w:p>
      <w:pPr>
        <w:numPr>
          <w:ilvl w:val="0"/>
          <w:numId w:val="2"/>
        </w:numPr>
        <w:spacing w:line="560" w:lineRule="exact"/>
        <w:outlineLvl w:val="0"/>
        <w:rPr>
          <w:rFonts w:ascii="宋体" w:hAnsi="宋体" w:cs="宋体"/>
          <w:b/>
          <w:sz w:val="22"/>
        </w:rPr>
      </w:pPr>
      <w:bookmarkStart w:id="88" w:name="_Toc30692"/>
      <w:bookmarkStart w:id="89" w:name="_Toc414614596"/>
      <w:bookmarkStart w:id="90" w:name="_Toc414266276"/>
      <w:bookmarkStart w:id="91" w:name="_Toc13620"/>
      <w:bookmarkStart w:id="92" w:name="_Toc427150269"/>
      <w:bookmarkStart w:id="93" w:name="_Toc425932185"/>
      <w:bookmarkStart w:id="94" w:name="_Toc269717613"/>
      <w:bookmarkStart w:id="95" w:name="_Toc414266430"/>
      <w:bookmarkStart w:id="96" w:name="_Toc440028956"/>
      <w:bookmarkStart w:id="97" w:name="_Toc415823320"/>
      <w:r>
        <w:rPr>
          <w:rFonts w:hint="eastAsia" w:ascii="宋体" w:hAnsi="宋体" w:cs="宋体"/>
          <w:b/>
          <w:sz w:val="22"/>
        </w:rPr>
        <w:t>建设清单</w:t>
      </w:r>
      <w:bookmarkEnd w:id="88"/>
    </w:p>
    <w:p>
      <w:pPr>
        <w:pStyle w:val="2"/>
      </w:pPr>
    </w:p>
    <w:tbl>
      <w:tblPr>
        <w:tblStyle w:val="36"/>
        <w:tblW w:w="8276" w:type="dxa"/>
        <w:tblInd w:w="98" w:type="dxa"/>
        <w:tblLayout w:type="fixed"/>
        <w:tblCellMar>
          <w:top w:w="0" w:type="dxa"/>
          <w:left w:w="108" w:type="dxa"/>
          <w:bottom w:w="0" w:type="dxa"/>
          <w:right w:w="108" w:type="dxa"/>
        </w:tblCellMar>
      </w:tblPr>
      <w:tblGrid>
        <w:gridCol w:w="1486"/>
        <w:gridCol w:w="2430"/>
        <w:gridCol w:w="1490"/>
        <w:gridCol w:w="1360"/>
        <w:gridCol w:w="1510"/>
      </w:tblGrid>
      <w:tr>
        <w:trPr>
          <w:trHeight w:val="430" w:hRule="atLeast"/>
        </w:trPr>
        <w:tc>
          <w:tcPr>
            <w:tcW w:w="14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43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产品名称</w:t>
            </w:r>
          </w:p>
        </w:tc>
        <w:tc>
          <w:tcPr>
            <w:tcW w:w="149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136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1510" w:type="dxa"/>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录播工作站</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高清录播系统软件</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在线互动课堂</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高清摄像机</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跟踪主机</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空间网格自动跟踪系统</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图像探测器（教师）</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图像探测器（学生）</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图像定位系统</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导播控制台</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智能导播系统</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43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吊装话筒</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60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音频处理器</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60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双通道数字功放</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60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线阵列音箱</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60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嵌入式网络中控</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60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17</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网络中控系统软件</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60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18</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电源时序控制器</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60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 xml:space="preserve"> 机柜</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r>
        <w:trPr>
          <w:trHeight w:val="60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平台系统</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color w:val="000000"/>
                <w:sz w:val="24"/>
                <w:szCs w:val="24"/>
              </w:rPr>
            </w:pPr>
          </w:p>
        </w:tc>
      </w:tr>
    </w:tbl>
    <w:p>
      <w:pPr>
        <w:spacing w:line="560" w:lineRule="exact"/>
        <w:outlineLvl w:val="0"/>
        <w:rPr>
          <w:rFonts w:ascii="宋体" w:hAnsi="宋体" w:cs="宋体"/>
          <w:b/>
          <w:sz w:val="22"/>
        </w:rPr>
      </w:pPr>
      <w:r>
        <w:rPr>
          <w:rFonts w:hint="eastAsia" w:ascii="宋体" w:hAnsi="宋体" w:cs="宋体"/>
          <w:b/>
          <w:sz w:val="22"/>
        </w:rPr>
        <w:t>三、技术服务要求</w:t>
      </w:r>
    </w:p>
    <w:p>
      <w:pPr>
        <w:rPr>
          <w:rFonts w:ascii="宋体" w:hAnsi="宋体" w:cs="宋体"/>
        </w:rPr>
      </w:pPr>
    </w:p>
    <w:tbl>
      <w:tblPr>
        <w:tblStyle w:val="36"/>
        <w:tblW w:w="8460" w:type="dxa"/>
        <w:tblInd w:w="24" w:type="dxa"/>
        <w:tblLayout w:type="autofit"/>
        <w:tblCellMar>
          <w:top w:w="0" w:type="dxa"/>
          <w:left w:w="108" w:type="dxa"/>
          <w:bottom w:w="0" w:type="dxa"/>
          <w:right w:w="108" w:type="dxa"/>
        </w:tblCellMar>
      </w:tblPr>
      <w:tblGrid>
        <w:gridCol w:w="810"/>
        <w:gridCol w:w="1310"/>
        <w:gridCol w:w="6340"/>
      </w:tblGrid>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设备名称</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技术参数</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录播工作站</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1、配置、接口及性能：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专业一体化嵌入式设计，1U机箱，ARM 双核处理器 Linux系统 ，内置2T硬盘，最大可扩展4T；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具备前置≥2.2寸彩色液晶屏，配合前置按键可直接设置主机的IP地址、导出录像文件，可以查看主机的系统信息、基本信息、通道信息、云平台信息等；前置开始、暂停、停止按键，控制录制进程并有相应LED灯显示当前工作状态；前置4个USB端口（USB3.0*1，USB2.0*3），插入USB存储设备后可导出录像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★视频模块：支持5路HD-SDI输入，1路DVI-I输入，2路HDMI输入，1路分量（YPBPR）输入，1路复合视频（CVBS）输入，支持1路VGA输出，1路HDMI输出，1路DVI环出输出，1路SDI输出；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视频采集方式：硬件采集、编码；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视频编码类型：H.264；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输入HD-SDI视频格式：1920*1080p 30/25fps，1920*1080i@60/50fps；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输入HDMI/VGA格式：支持1024*768p@60到1920x1080p@60；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输入YPbpr/CVBS 模拟信号：320*288@25fps～768*576@25fps；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视频编码帧率：25fps 5/10/15/20/25/30可选；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视频编码分辨率：最高1920 x 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视频编码码率：256k~8M可调；主码流（录制）1M~8Mbps，副码流（直播）256K~1Mbps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音频模块：录播工作站内置音频采集模块，话筒输入（48V幻象）*6，频响 100hz-10Khz  -3db、MIC无线话筒*1；1路线路输入（莲花座），线路频响 20hz-19khz  ±1db；信噪比 ＞65db，失真度＜0.1%，音频编码类型：AAC，音频采样率48KHz ，1路LINE OUT线路输出，1路音频监听（前面板），具有自动增益功能：控制范围≥40db ，起控点-30db，自带增益时间常数 ＜1秒；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控制模块：6路RS232可外接跟踪机、控制面板、摄像机云台等，1路RS422或RS485可控制摄像机等外部设备；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网络模块：具备2个10/100/1000Mbps自适应网口；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录播设备支持本地导播方式，插上显示屏，鼠标键盘就可以完成本地无延迟导播。可扩展硬件导播台；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 系统可接入平台，通过远程控制多间教室开始或停止分析，并支持分析结果显示；                                                                                                                                       ★须提供按照GB/T 18313-2001《声学 信息技术设备和通信设备空气噪声的测量》标准噪音检测报告复印件，加盖投标人公章.     </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高清录播系统软件</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1、支持对设备的录制编码、帧率、IP地址、内置时间、视频输出、互动功能等参数进行设置；(提供对应的软件截图及权威机构出具的功能检测报告)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2、支持本地导播和web远程导播两种导播方式，两种导播方式中设置操作及相关信息一致；支持云台控制、画中画设置、特效切换、台标字幕及片头片尾设置、录播开始、暂停、停止等设置操作。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3、支持电影模式、资源模式及“电影+资源”模式三种直播模式，其中资源模式最多支持6路视频图像，“电影+资源”模式最多支持7路视频图像，包含6路资源模式视频图像及1路电影模式视频图像；直播是采用Flash Player进行播放，支持多用户操作；支持标准的RTMP直播协议，可推送到FMS服务器进行大规模的直播观看；(提供对应的软件截图及权威机构出具的功能检测报告)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单流单画面的电影模式、多流多画面的资源模式以及单流多画面的“电影+资源”模式，可以单独录制也可以同时录制；支持在同一设备完成6路视频同时录制，所生成文件在同一文件夹。(提供对应的软件截图及权威机构出具的功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独立的页面可以显示系统当前的录像模式、录像状态、录像时间、直播状态、磁盘空间信息、视频源是否启用等信息，此页面亦包含电影模式画面、VGA信号及4路SDI视频信号的分辨率、录制编码、录制帧率、I帧间隔及直播地址等信息，满足管理人员基于一个页面即可查询到上述信息。(提供对应的软件截图及权威机构出具的功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6、支持在电影画面中添加台标、字幕，可以插入片头、片尾；支持台标更换及台标位置选择；支持图片、视频等格式文件的片头片尾，支持片头片尾时间选择：1-5s；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可以提供多种画中画模式，支持提供15种已设定好的画中画模式，如大小、左右、平铺、三分屏、四分屏、全景等画中画模式，支持交换功能，方便画面快速对调；(提供对应的软件截图及权威机构出具的功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直切、擦除、覆盖、推拉模式的特效，每种模式提供8种特效；系统亦具备提供4种不同上述方式的特效，所有特效为系统自带，无须手动定义；特效的过渡时间支持设定为0.5S、0.8S、1.0S、1.2S。(提供对应的软件截图及权威机构出具的功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可以提供预编辑录制窗口（PVW）和录制窗口（PGM），录制时辅助人员可在预编辑窗口完成对视频的编辑，如添加字幕、台标、设置画中画等，设置完成后可直接推送到直播/电影模式窗口，进行录制及直播。(提供对应的软件截图及权威机构出具的功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只需要一根VGA或HDMI线缆即可完成教师机画面采集与侦测，无需安装辅助软件。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录像文件支持设置对应的学年学期、课程名称、学校院系、授课地点、学校代码、学科名称、授课教师、开课时间、授课年级、授课课时及课程描述等教学信息。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具备录像管理功能，支持显示已有文件的列表，并进行点播、下载、修改属性、删除等操作；录制后的视频可支持自动上传云平台个人空间且自动删除本地文件；支持磁盘格式化、磁盘满载后不录制或覆盖。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5路摄像机云台控制，可对摄像机进行上下左右、变倍、聚焦、光圈控制，系统针对每路摄像机均提供5种固定位变焦，用户可以直接调用，无需手动调节；每个摄像机可设置8个预置位；摄像机光圈和聚焦设置提供手动和自动设置按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跟踪功能支持自动、手动及半自动三种跟踪模式；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具备POC供电功能是否启用的总开关和5路摄像机的POC供电功能的独立开关设置。(提供对应的软件截图及权威机构出具的功能检测报告)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16、具备互动设置功能，可以实现录播工作站之间直接进行教学互动，支持1台录播工作站同时和3台录播工作站进行互动。(提供权威机构出具的功能检测报告)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具备公网互动设置窗口，可以设定本机ID、本地端口、服务器IP及服务器端口；可以手动增加本地互动用户信息，可以实现本地用户列表的导入导出；系统可以保存常用互动用户的列表，用户可以任意选择在线的用户进行教学互动；(提供对应的软件截图及权威机构出具的功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 可以设置互动时采用单屏显示或是双屏显示，具备本地显示设置功能；互动时主讲端和听讲端的画面可以从设备输入的摄像机画面或VGA画面中自定义选择；(提供对应的软件截图及权威机构出具的功能检测报告)                                                                                                                                                                                                                     19、 ★须提供全高清录播系统、精品课堂编辑器软件著作权证书复印件并加盖投标人公章及查询真伪截图；</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在线互动课堂</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1、支持一键创建课堂，听讲教室只需输入主讲教室的课堂号即可进入互动页面。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2、支持一对八的互动教学，并且支持第九个及以上教室排队请求加入课堂，主讲教师可以根据自身的需求，删除或者替换听讲教室。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3、支持关键字搜索听讲教室名称，方便用户选择互动目标班级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4、进入到客户端中后支持点击文件即可导入课堂所需要的互动内容，软件可自动识别本地以及移动存储设备，支持多选一键导入教师所有教学所需资料。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5、支持主讲教室和听讲教室的文件互传。支持多种格式的文档、视频、以及图片的互传。文本类支持：doc, docx, ppt, pptx, pdf ；视频类支持：avi,mp4,mkv,wma,mov,3gp,flv；图片类支持：jpg,jpeg,bmp,png；音频类支持：mp3；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6、支持主讲以及听讲端通过快照的方式将文件保存至本地。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7、支持主讲教室对主讲文件的操作可以同步到听讲教室，包括文档翻页、放大缩小、移动位置，音视频的播放与暂停、进度调整；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8、支持多页文档传入时显示总页码与当前页码；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9、支持文档查看记录功能，同一文档如果非初次上传，第二次上传会跳转至上次翻阅到的位置。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10、软件支持同屏书写功能，支持画笔标注，图形标注以及文字标注，可以实时显示标注的轨迹，主讲大屏以及所有听讲大屏同步显示标注内容。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软件支持画笔画笔、图形、橡皮、撤销、激光笔等应用工具，画笔支持可以选择8种颜色和8中粗细，图形支持4种颜色和4种粗细，软件提供方框、圆形、直线、箭头作为批注选择，满足授课老师不同的批注要求。智能化的橡皮以及撤销工具，支持单线的擦除以及多步的撤销。创意激光笔为教师讲课提供指向工具，方便异地听讲教室定位老师的讲课重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12、支持教室打分系统。支持点击加减号为教室打分，起到鼓励和激励的作用。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软件支持单屏、双屏、和全屏的互动模式，双屏模式为左右2分屏，支持两种相同类型或者不同类型的文件同时展示，可以展示图片+视频、图片+图片、图片+音频，文档+视频、文档+文档等多种组合。双屏模式下可以对两个屏幕上的文档分别进行批注、缩放和翻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15、为满足日常上课需求，支持三大教学模式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教师授课模式：模拟教师讲课时的教室场景，教师讲课时学生处于听讲的状态，主讲教师的课件可以共享给听讲教室，同时只有主讲教师可以在屏幕上进行批注授课。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同屏书写模式：模拟学生黑板答题的教室场景，远端教室的学生可以通过同屏书写的功能在主讲教室的屏幕上进行答题。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远程监看模式：模拟教师班级巡课的教室场景，听讲教室可以自行在自己的屏幕上批注，此时主讲教师可以查看任意教室的屏幕内容。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16、支持远程答题功能，配置答题器即可完成课堂习题的实时互动答题，做到练习内容的互动，听讲教室可以通过答题器回答问题，所有答题统计都可以在主讲大屏查看。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择题、判断题、数字题以及题型套卷的远程问答发起。开始答题后完成学生的姓名会实时显示至主讲客户端中，系统会自动统计识别每道题答题人数和各选项的总人数占比，并且对于各班级的答题情况以及整体的答题情况进行统计。</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高清摄像机</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 信号系统：HD: 1080P60/50/30/25, 1080i60/50,720P60/50/30/25,SD: 480i, 576i；                  2、 成像器件：1/2.7英寸 CMOS；有效像素：207万；                                                  3、扫描方式：逐行；                                                                                   4、 镜头：12x, f3.5mm ~ 42.3mm, F1.8 ~ F2.8，32x数字变焦(可选)；                                     5、 最低照度：0.5Lux @ (F1.8, AGC ON)；                                                            6、 视频编码：H.265/H.264/MJEPG；17、 视频码流：主码流，辅码流；主码流分辨率支持1920x1080, 1280x720, 1024x576，辅码流分辨率支持720x576, 720x480, 320x240；                                       7、视频输出：1路3G-SDI、HDMI、RJ45网络，三路接口可同时输出，支持1路CVBS输出；</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跟踪主机</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1、嵌入式硬件结构，ARM处理器，Linux系统；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2、主机前置面板具备开关按钮，通电后可以手动开启设备，配备相关指示灯显示主机当前工作状态；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3、1U，19英寸标准机架式设计；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4)内置Web平台，可根据教学现场定义跟踪策略和各种不同模式；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支持空间网格跟踪技术，老师授课的同时，不需要他人帮助而自动完成授课全过程的录制，老师身上无需佩戴任何设备便可实现在全教室无盲区自动跟踪，在录播过程中，授课教师可以自主的控制开始和结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6、10个串口，1路VGA out，1路HDMI out，1个USB口，1个console，6个RJ45网口（带POE供电）；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7、主机背板有三孔电源接口直接采用交流220V供电，不接受电源适配器直流供电。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★为了兼容性、稳定性及后期的升级维护，要求与嵌入式高清录播工作站同品牌。</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空间网格自动跟踪系统</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1、更新参数：可以根据跟踪环境输入不同的跟踪参数，框图位置发生相应的变化。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2、提交到跟踪机：可以把新数据写入跟踪机。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3、恢复默认设置：可以把所有的参数都恢复出厂设置。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4、配置文件导入导出：将跟踪主机设置完成，可将配置文件导出到本地保存，也可将配置文件导入，实现一键恢复配置。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5、配置导出至邮件：可以将教室内的跟踪参数上传至自己的邮箱中，方便存储。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6、一键检索：调试软件支持搜索探测器的IP，并统一进行IPC配置和管理，部署时不需要单独连线去修改IPC信息。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7、一线通探测：施工布线精简，探测器支持POE供电只需要部署网线，方便现场灵活部署。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8、一线通POC跟踪：施工布线精简，摄像机支持POC供电只需要部署SDI线缆，就可以实现跟踪效果，方便现场灵活部署。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多样性跟踪策略：支持灵活的多机位组合导播策略，可以根据需要启用学生和教师的全景机位，采用丰富的全景导播策略，在教师或者学生特写镜头的移动推拉过程中加入稳定的全景镜头，全面提升录播画面的稳定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10、基础数据设置：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工作模式：可以根据需求来选择不同的跟踪模式，包括教师跟踪模式，学生跟踪模式，教师学生跟踪模式，教师学生板书跟踪模式，互动跟踪等模式；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探测器类型：可以根据实际搭配选择教师摄像机、学生摄像机以及板书摄像机的探测器类型；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摄像机的坐标：可以根据需求设置教师摄像机、学生摄像机以及板书摄像机的默认位置，默认变倍大小；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策略的自动探测和画面跟踪拍摄。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11、跟踪画面效果调节：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1）学生特写画面显示时间：可以根据需求调整特写画面显示的时间；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2）最短切换命令发送间隔：可以在电影模式录像时，设置各个镜头切换时的最短时间间隔；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12、★提供空间网格跟踪软件著作权证书复印件并加盖公章(投标时提供可查询真伪的国家权威官网截图）并加盖投标人公章。</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图像探测器（教师）</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1、图像跟踪定位、彩色小半球摄像机，方便上下左右全方位调节；2、探测角度：90°；3、成像器件：1/3 SONY super HAD CCD; 420TVL；自动增益，自动白平衡，EV补偿；4、水平清晰度：420TVL；5、图像制式：PAL；6、电源：DC 12V 200MA；拍摄角度：56°。</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图像探测器（学生）</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分左右两款，配套使用。适用于图像跟踪录播系统，安装方式需嵌入墙体，与墙体成一个平面，满足客户对安全与美观的要求，按安装位置分为左右两款，内置探测器。 结构参数：形状：86盒式； 安装方式：墙体内嵌安装式；电源：DC 12V 200MA；拍摄角度：52°。</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图像定位系统</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1、视频图像：可以显示跟踪机采集的动态图，同时可以设置探测的区域。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2、信息显示：可以显示通信、操作过程的一些状态信息。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3、探测效果：可以直观显示学生和教师的跟踪框体。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4、连接串口：可以通过网口连接跟踪机。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5、获取图像：可以实时获取教师和学生的视频图像。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6、获取参数：可以获取跟踪主机里设定的跟踪区域的坐标参数。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7、修改区域：可以通过鼠标调整探测区域。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8、保存参数文件：可以把用户在控制界面上的所有设置保存到任意目录和邮箱中。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9、显示加载信息：可以把保存的配置参数加载到用户界面中显示出来。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10、恢复出厂设置：可以把跟踪机的参数，统一恢复为出厂的参数。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11、上传程序：可以用标定程序升级跟踪主机的跟踪程序。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12、退出：可以退出关闭软件。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学生：可以输出学生目标的探测视频。</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导播控制台</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1、须支持对5路摄像机的云台控制，实现“上下翻转、左右翻转、放大缩小翻转”等操控，操控期间镜头变化的速度可自行调整，可为每个摄像机设定不少于7个 预置位，完成快速定位功能；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（提供权威机构出具的检测报告，并加盖投标人公章）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2、★须支持对主、副各6路视频画面的切换控制，完成各种画中画模式的开启与关闭、画中画副画面的切换、主副画面的切换等功能，须支持简单特技的添加和去除；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（提供权威机构出具的检测报告，并加盖投标人公章）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3、须支持与自动跟踪设备联动，具备手动、自动切换功能，须支持控制录像的开始、暂停、停止，在无需键盘鼠标配合下，即可完成操作；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（提供权威机构出具的检测报告，并加盖投标人公章）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4、★≥2路DB9标准RS232用于录播机及跟踪机控制，≥1路DB15专用接口可接5路摄像机控制，≥5路RJ45摄像机控制口（串口），≥1路USB 2.0，可提供供电；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（提供权威机构出具的检测报告，并加盖投标人公章）</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智能导播系统</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1、自动跟踪：支持借助跟踪主机来控制摄像机的动作，并自动进行多机位的视频切换。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2、录像控制：能控制录播工作站进行录像。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视频切换：可以直接切换视频画面；可以用深入浅出的效果切换两个画面视频；可以将视频画面显示为一大一小，以主画面为背景；可以将主副画面以对角线的形式显示在屏幕中；可以将主画面和副画面平铺显示；可以在以上任何模式下交换画面；可以用来切换当前的录像主画面和副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4、摄像机控制：可以用来给摄像机设置，调用预置位。</w:t>
            </w:r>
          </w:p>
        </w:tc>
      </w:tr>
      <w:tr>
        <w:trPr>
          <w:trHeight w:val="4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吊装话筒</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1、频率范围：100—16000 Hz；灵敏度：-34dB（@1kHz）；指向性：超窄指向；拾音角度：100°；最大声压级：128dB(@THD≤0.5%,1KHz)；</w:t>
            </w:r>
          </w:p>
        </w:tc>
      </w:tr>
      <w:tr>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13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音频处理器</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1.支持8路全频AEC回声抑制功能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2.支持8路平衡式话筒输入，4路平衡式线路输入，采用裸线接口端子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3.支持6路平衡式线路输出，采用裸线接口端子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4.支持48V幻象电源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5.具备用于软件设置/控制的以太网端口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6.支持以太网接口用于多台设备联机工作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7.具备串行端口用于第三方RS-232远程控制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8.具备信号路由功能，对音频信号进行切换和分配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9.提供RMS均值和Peak峰值两种电平表，监测当前音频信号幅度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10.信号处理模块具备以下功能：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1）滤波模块：高通、低通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2）均衡器模块：10段图示均衡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3）音频处理模块：智能降噪、限幅器、压缩限制器、噪声门、增益控制、反馈抑制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4）混音模块：智能混音、矩阵混音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5）延时模块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6）控制器：音量平衡、音量调节</w:t>
            </w:r>
          </w:p>
        </w:tc>
      </w:tr>
      <w:tr>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szCs w:val="20"/>
              </w:rPr>
            </w:pPr>
            <w:r>
              <w:rPr>
                <w:rFonts w:hint="eastAsia" w:ascii="宋体" w:hAnsi="宋体" w:eastAsia="宋体" w:cs="宋体"/>
                <w:i w:val="0"/>
                <w:iCs w:val="0"/>
                <w:color w:val="000000"/>
                <w:kern w:val="0"/>
                <w:sz w:val="22"/>
                <w:szCs w:val="22"/>
                <w:u w:val="none"/>
                <w:lang w:val="en-US" w:eastAsia="zh-CN" w:bidi="ar"/>
              </w:rPr>
              <w:t>双通道数字功放</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cs="宋体"/>
                <w:color w:val="000000"/>
                <w:sz w:val="22"/>
                <w:szCs w:val="22"/>
              </w:rPr>
            </w:pPr>
            <w:r>
              <w:rPr>
                <w:rStyle w:val="92"/>
                <w:lang w:val="en-US" w:eastAsia="zh-CN" w:bidi="ar"/>
              </w:rPr>
              <w:t>1 、参数说明：电源 ～220V ±10%  2A；2、 总功率（额定）: 300W   ( 2x100W +2x50W)；3、信噪比（A计权）: 90db ；4、 频响（-3dB）:   20H～20KHz；5、 声道系统:  2.0 +2.0；6、 输入线路输入（左右声道） ：0dB 10K 各1路；7、 输出功率输出（左右声道）：2路 2x4～8</w:t>
            </w:r>
            <w:r>
              <w:rPr>
                <w:rStyle w:val="93"/>
                <w:rFonts w:eastAsia="宋体"/>
                <w:lang w:val="en-US" w:eastAsia="zh-CN" w:bidi="ar"/>
              </w:rPr>
              <w:t>Ω</w:t>
            </w:r>
            <w:r>
              <w:rPr>
                <w:rStyle w:val="92"/>
                <w:lang w:val="en-US" w:eastAsia="zh-CN" w:bidi="ar"/>
              </w:rPr>
              <w:t xml:space="preserve"> + 2路 2x4～8</w:t>
            </w:r>
            <w:r>
              <w:rPr>
                <w:rStyle w:val="93"/>
                <w:rFonts w:eastAsia="宋体"/>
                <w:lang w:val="en-US" w:eastAsia="zh-CN" w:bidi="ar"/>
              </w:rPr>
              <w:t>Ω</w:t>
            </w:r>
            <w:r>
              <w:rPr>
                <w:rStyle w:val="92"/>
                <w:lang w:val="en-US" w:eastAsia="zh-CN" w:bidi="ar"/>
              </w:rPr>
              <w:t>；8、 1U机箱，总功率（额定） 2x100W +2x50W；9、 失真度 1000Hz ；10、 双风道 双风扇；专为录播教室设计，支持两个房间即听课室和观摩室。</w:t>
            </w:r>
            <w:r>
              <w:rPr>
                <w:rStyle w:val="92"/>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为了兼容性、稳定性及后期的升级维护，要求与高清录播工作站同品牌 。</w:t>
            </w:r>
          </w:p>
        </w:tc>
      </w:tr>
      <w:tr>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线阵列音箱</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极佳的方向性和强大的功率输出，可以轻松应对大中型（混响）室内环境，特别是对声效有着严格要求的环境。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1、最大功率60 W、额定功率30 W；声压级：1 W（1 kHz，1 米）时，92 dB (SPL)，有效频率范围(-10 dB)，190 Hz 至 18 kHz；2、开放角度1 kHz / 4 kHz (-6 dB)，水平210°/132°，垂直50°/22°，额定阻抗6 欧姆；3、机械指标：尺寸（高 x 宽 x 深） 800 x 80 x 90 毫米，重量6.4 千克（14.1 磅）；4、环境要求：操作温度-25°C 至 +55°C（-13°F 至 +131°F）存储温度-40 ºC 至 +70 ºC（-40 ºF 至 +158 ºF）相对湿度&lt;95%。</w:t>
            </w:r>
          </w:p>
        </w:tc>
      </w:tr>
      <w:tr>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嵌入式网络中控</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1、须采用嵌入式技术，ARM处理器，可灵活配置端口、自定义使用模式。具备语音与主控中心对讲。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2、须具备无线投屏功能，支持用户的手机直接连接中控并投射显示；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3、内置功放，可满足小面积教室的扩音；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4、前面板具备如下LED指示灯：VGA指示灯、工作指示灯、录像指示灯、电源指示灯可以分别显示当前工作的状态；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5、具备不少于2路VGA信号输入，不少于2路HDMI信号输入，不少于1路VGA信号输出并具有掉线检测，不少于1路HDMI信号输出；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6、具备不少于4路左右声道音频信号输入，不少于1路LINE OUT，不少于1路MIC输入，不少于1路LINE IN，不少于1路8欧/8W音频功率输出，并支持音量调节旋钮；1路语音对讲输入，1路语音对讲输出，不少于1路按键控制用于对讲的开始和停止；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7、须具备至少6个千兆网络接口；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8、备不少于1路串口用于连接液晶面板，1路串口用于连接读卡器，1路串口用于连接投影机， 1路串口预留；1路console调试串口。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9、至少具备两路USB2.0接口；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10、低压直流输出须具备1路12V低压输出，1路5V低压输出，1路12V电控锁控制输出；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11、高压交流输出须具备3路220VAC输出，电流分别为1路3A，1路1A,1路0.5A；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★为保证兼容性，所投产品需要与录播主机位统一品牌。</w:t>
            </w:r>
          </w:p>
        </w:tc>
      </w:tr>
      <w:tr>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网络中控系统软件</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1、提供B/S配置界面，可以查看系统概览，包括系统当前时间、网络配置、固件信息；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2、具备网络配置，网络跟踪配置、管理平台、语音平台设置功能；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3、支持时间同步服务器、PDUIP设置，支持USB电话声音设置；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4、可自定义设定时间，选择控制面板类型，支持摄像机云台设置；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5、具备固件升级及远程重启功能；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提供高级配置功能，具备控制台，可选择中控控制命令并显示中控系统状态；可以查看中控的原始命令和原始状态；可以查看定制状态信息，可以管理中控组合命令；可以设置智能开关、面板键命令映射、面板灯、PC控制参数、功放参数、投影机型号及控制参数；可以查看投影机灯泡状态，卡号信息及系统综合信息等；</w:t>
            </w:r>
          </w:p>
        </w:tc>
      </w:tr>
      <w:tr>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电源时序控制器</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1、可以管理8台220V交流供电设备，电源输出端口：8路;输入电压：220VAC±10% ；频率：50Hz;输入电流：≤15A;输出电流：每个端口：≤10A;总电流：≤15A；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2、设备具有电源输出状态指示灯，与电源输出插孔一一对应，通电后长亮；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3、设备具备显示模块，实时循环显示设备IP地址、输入电压、输出电流等相关信息；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4、设备具有复位键，可初始化设备IP地址；支持1路I/O接口，1路RS232控制接口；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5、设备接口采用RJ45端口，通过网络可方便地将产品连接到控制平台，对设备进行远程控制；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6、可以选择对接入每个端口的设备分别选择实施开启、关闭、延时开启、延时关闭、延时重启；对于延时操作，通过设备管理软件可以设置延时时间；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7、为了更方便的管理设备，可以在设备管理软件页面上添加一些定时任务。如设备“每天”“每周”“每月”进行“重启”“开机”“关机”等相关操作，都可通过页面上进行设置，也可以灵活删除；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电源输入：电压：AC 220V 15A  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网口：10M/100M自适应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重量：2.1kg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功率：5W</w:t>
            </w:r>
          </w:p>
        </w:tc>
      </w:tr>
      <w:tr>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机柜</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1、为录播系统专业定制，录播系统后台承载系统，完成电源管理，电源时序管理，网络集中管理，综合线路管理，使录播使用和管理更简单。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2、一体式设计，对录播设备集中控制管理，含电源控制模块、VGA分配模块、网络模块。外观：全框架结构, 配可调节支撑行走脚轮4只；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3、散热：旋转式散热风口，符合19英寸标准；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4、规格：≤550MM×600MM×1000MM；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5、标准：符合ANSI/EIA RS-310-D、IEC297-2、DIN41491；PART1、DIN41494； PART7、 GB/T3047.2- 92；兼容ETSI；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6、材质：SPCC优质冷扎钢板制作；厚度：方孔条≥2.0mm,其他≥1.2mm；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7、内置网络控制模块、电源模块、集成线缆。</w:t>
            </w:r>
          </w:p>
        </w:tc>
      </w:tr>
      <w:tr>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平台系统</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CPU：1 XIntel Xeon Silver 4210 Processor/2.20 GHz/13.75 MB/10C/20T/85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内存：2 X 16GB/DDR4/2400或2666MHz或2933MHz/ECC/REG]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硬盘：1 X 4TB/SATA/7200PRM/3.5寸/企业级]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导轨：1 X 上架导轨套件]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DVD:1 X DVD/RW/SATA薄                                                                                                                           网口：集成双口千兆网卡                                                                                                                                                                                                                                                                系统：兼容Ubuntu Server 16.04.3及其以上</w:t>
            </w:r>
          </w:p>
        </w:tc>
      </w:tr>
    </w:tbl>
    <w:p>
      <w:pPr>
        <w:pStyle w:val="2"/>
      </w:pPr>
    </w:p>
    <w:p>
      <w:pPr>
        <w:pStyle w:val="16"/>
        <w:spacing w:line="560" w:lineRule="exact"/>
        <w:rPr>
          <w:rFonts w:ascii="宋体" w:hAnsi="宋体" w:cs="宋体"/>
          <w:b/>
          <w:sz w:val="22"/>
        </w:rPr>
      </w:pPr>
      <w:r>
        <w:rPr>
          <w:rFonts w:hint="eastAsia" w:ascii="宋体" w:hAnsi="宋体" w:cs="宋体"/>
          <w:b/>
          <w:sz w:val="22"/>
        </w:rPr>
        <w:t>四、服务条款要求</w:t>
      </w:r>
    </w:p>
    <w:p>
      <w:pPr>
        <w:pStyle w:val="16"/>
        <w:spacing w:line="560" w:lineRule="exact"/>
        <w:rPr>
          <w:rFonts w:ascii="宋体" w:hAnsi="宋体" w:cs="宋体"/>
          <w:kern w:val="0"/>
          <w:sz w:val="24"/>
        </w:rPr>
      </w:pPr>
      <w:r>
        <w:rPr>
          <w:rFonts w:hint="eastAsia" w:ascii="宋体" w:hAnsi="宋体" w:cs="宋体"/>
          <w:kern w:val="0"/>
          <w:sz w:val="24"/>
        </w:rPr>
        <w:t>1、中选人必须服从、配合比选人对合同期内所有出行活动实施的统一管理。</w:t>
      </w:r>
    </w:p>
    <w:p>
      <w:pPr>
        <w:pStyle w:val="16"/>
        <w:spacing w:line="560" w:lineRule="exact"/>
        <w:rPr>
          <w:rFonts w:ascii="宋体" w:hAnsi="宋体" w:cs="宋体"/>
          <w:kern w:val="0"/>
          <w:sz w:val="24"/>
        </w:rPr>
      </w:pPr>
      <w:r>
        <w:rPr>
          <w:rFonts w:hint="eastAsia" w:ascii="宋体" w:hAnsi="宋体" w:cs="宋体"/>
          <w:kern w:val="0"/>
          <w:sz w:val="24"/>
        </w:rPr>
        <w:t>2、中选人的专业施工方案，必须获得成都七中初中</w:t>
      </w:r>
      <w:r>
        <w:rPr>
          <w:rFonts w:hint="eastAsia" w:ascii="宋体" w:hAnsi="宋体" w:cs="宋体"/>
          <w:kern w:val="0"/>
          <w:sz w:val="24"/>
          <w:lang w:eastAsia="zh-Hans"/>
        </w:rPr>
        <w:t>学校</w:t>
      </w:r>
      <w:r>
        <w:rPr>
          <w:rFonts w:hint="eastAsia" w:ascii="宋体" w:hAnsi="宋体" w:cs="宋体"/>
          <w:kern w:val="0"/>
          <w:sz w:val="24"/>
        </w:rPr>
        <w:t>认可同意，方可进行实施。</w:t>
      </w:r>
    </w:p>
    <w:p>
      <w:pPr>
        <w:pStyle w:val="16"/>
        <w:spacing w:line="560" w:lineRule="exact"/>
        <w:rPr>
          <w:rFonts w:ascii="宋体" w:hAnsi="宋体" w:cs="宋体"/>
          <w:b/>
          <w:sz w:val="22"/>
        </w:rPr>
      </w:pPr>
      <w:r>
        <w:rPr>
          <w:rFonts w:hint="eastAsia" w:ascii="宋体" w:hAnsi="宋体" w:cs="宋体"/>
          <w:b/>
          <w:sz w:val="22"/>
        </w:rPr>
        <w:t>五、商务要求</w:t>
      </w:r>
      <w:bookmarkEnd w:id="89"/>
      <w:bookmarkEnd w:id="90"/>
      <w:bookmarkEnd w:id="91"/>
      <w:bookmarkEnd w:id="92"/>
      <w:bookmarkEnd w:id="93"/>
      <w:bookmarkEnd w:id="94"/>
      <w:bookmarkEnd w:id="95"/>
      <w:bookmarkEnd w:id="96"/>
      <w:bookmarkEnd w:id="97"/>
    </w:p>
    <w:p>
      <w:pPr>
        <w:pStyle w:val="16"/>
        <w:spacing w:line="560" w:lineRule="exact"/>
        <w:rPr>
          <w:rFonts w:ascii="宋体" w:hAnsi="宋体" w:cs="宋体"/>
          <w:kern w:val="0"/>
          <w:sz w:val="24"/>
        </w:rPr>
      </w:pPr>
      <w:r>
        <w:rPr>
          <w:rFonts w:hint="eastAsia" w:ascii="宋体" w:hAnsi="宋体" w:cs="宋体"/>
          <w:kern w:val="0"/>
        </w:rPr>
        <w:t>▲</w:t>
      </w:r>
      <w:r>
        <w:rPr>
          <w:rFonts w:hint="eastAsia" w:ascii="宋体" w:hAnsi="宋体" w:cs="宋体"/>
          <w:kern w:val="0"/>
          <w:sz w:val="24"/>
        </w:rPr>
        <w:t>（一）履约期限</w:t>
      </w:r>
    </w:p>
    <w:p>
      <w:pPr>
        <w:pStyle w:val="16"/>
        <w:spacing w:line="560" w:lineRule="exact"/>
        <w:ind w:firstLine="480" w:firstLineChars="200"/>
        <w:rPr>
          <w:rFonts w:ascii="宋体" w:hAnsi="宋体" w:cs="宋体"/>
          <w:kern w:val="0"/>
          <w:sz w:val="24"/>
        </w:rPr>
      </w:pPr>
      <w:r>
        <w:rPr>
          <w:rFonts w:hint="eastAsia" w:ascii="宋体" w:hAnsi="宋体" w:cs="宋体"/>
          <w:kern w:val="0"/>
          <w:sz w:val="24"/>
        </w:rPr>
        <w:t>建设工期为合同签订并生效后自供应商收到采购人发出的《进场通知书》之日起的30个日历日内（因采购人原因或不可抗力原因造成的延误除外；供应商有正当理由提出并经采购人同意的延期除外）。进场前，供应商需提供集成安装设计施工图给采购人确认后，方可施工。供应商应按照采购文件要求完成项目所有设备、设施及系统等的综合安装与调试等全部建设工作（包括用户培训工作），确保各系统及设备等正常使用和运行，所需建设费用包含在投标总价格中。</w:t>
      </w:r>
    </w:p>
    <w:p>
      <w:pPr>
        <w:pStyle w:val="16"/>
        <w:spacing w:line="560" w:lineRule="exact"/>
        <w:rPr>
          <w:rFonts w:ascii="宋体" w:hAnsi="宋体" w:cs="宋体"/>
          <w:kern w:val="0"/>
        </w:rPr>
      </w:pPr>
      <w:r>
        <w:rPr>
          <w:rFonts w:hint="eastAsia" w:ascii="宋体" w:hAnsi="宋体" w:cs="宋体"/>
          <w:kern w:val="0"/>
        </w:rPr>
        <w:t>▲</w:t>
      </w:r>
      <w:r>
        <w:rPr>
          <w:rFonts w:hint="eastAsia" w:ascii="宋体" w:hAnsi="宋体" w:cs="宋体"/>
          <w:kern w:val="0"/>
          <w:sz w:val="24"/>
        </w:rPr>
        <w:t>（二）培训要求</w:t>
      </w:r>
    </w:p>
    <w:p>
      <w:pPr>
        <w:spacing w:line="360" w:lineRule="auto"/>
        <w:ind w:firstLine="518" w:firstLineChars="216"/>
        <w:rPr>
          <w:rFonts w:ascii="宋体" w:hAnsi="宋体" w:cs="宋体"/>
          <w:kern w:val="0"/>
          <w:sz w:val="24"/>
        </w:rPr>
      </w:pPr>
      <w:r>
        <w:rPr>
          <w:rFonts w:hint="eastAsia" w:ascii="宋体" w:hAnsi="宋体" w:cs="宋体"/>
          <w:kern w:val="0"/>
          <w:sz w:val="24"/>
        </w:rPr>
        <w:t>1、建设过程培训。项目建设施工过程中，供应商免费向采购人（不低于2名技术人员）就本项目建设实施过程中的系统设计以及各设备、系统安装建设及调试等实施情况提供施工现场的伴随性建设方案解释等相关培训，确保采购人有关技术人员能熟悉本项目各设备的配备情况、安装特性、使用特点、环境建设、文化营造等的建设细节。</w:t>
      </w:r>
    </w:p>
    <w:p>
      <w:pPr>
        <w:spacing w:line="360" w:lineRule="auto"/>
        <w:ind w:firstLine="518" w:firstLineChars="216"/>
        <w:rPr>
          <w:rFonts w:ascii="宋体" w:hAnsi="宋体" w:cs="宋体"/>
          <w:kern w:val="0"/>
          <w:sz w:val="24"/>
        </w:rPr>
      </w:pPr>
      <w:r>
        <w:rPr>
          <w:rFonts w:hint="eastAsia" w:ascii="宋体" w:hAnsi="宋体" w:cs="宋体"/>
          <w:kern w:val="0"/>
          <w:sz w:val="24"/>
        </w:rPr>
        <w:t>2、使用管理集中培训。项目建设完毕且设备、系统等试运行正常后的10个日历日内（双方另行共同约定的时间除外），供应商免费向采购人（不低于1次，每次不低于1名技术人员与不低于2名相关学科教师，采取集中培训方式）提供本项目的方案解释以及设备、产品及整体系统等进行全面的使用和管理进行培训，免费对设备、产品及系统操作进行实际演示和技术带领，确保采购人有关人员能熟悉、了解和掌握本项目设备、产品，能规范操作和使用，能对简单的故障进行判断和处理。涉及相关的培训大纲、内容和具体时间安排等由采购人和供应商另行确定；培训结束后，向采购人提交培训记录材料。</w:t>
      </w:r>
    </w:p>
    <w:p>
      <w:pPr>
        <w:spacing w:line="360" w:lineRule="auto"/>
        <w:ind w:firstLine="518" w:firstLineChars="216"/>
        <w:rPr>
          <w:rFonts w:ascii="宋体" w:hAnsi="宋体" w:cs="宋体"/>
          <w:kern w:val="0"/>
          <w:sz w:val="24"/>
        </w:rPr>
      </w:pPr>
      <w:r>
        <w:rPr>
          <w:rFonts w:hint="eastAsia" w:ascii="宋体" w:hAnsi="宋体" w:cs="宋体"/>
          <w:kern w:val="0"/>
          <w:sz w:val="24"/>
        </w:rPr>
        <w:t>3、使用跟踪培训。项目质保期内，供应商至少每年免费向采购人提供使用跟踪培训, 每年不少于1次，每次不少于2人，及时回答管理人员、学科教师在设备、产品及系统在常规使用、管理维护保养等过程中遇到的各问题。涉及相关的培训次数、培训内容和具体时间等由采购人、供应商根据实际情况另行确定。</w:t>
      </w:r>
    </w:p>
    <w:p>
      <w:pPr>
        <w:pStyle w:val="16"/>
        <w:spacing w:line="560" w:lineRule="exact"/>
        <w:ind w:firstLine="480" w:firstLineChars="200"/>
        <w:rPr>
          <w:rFonts w:ascii="宋体" w:hAnsi="宋体" w:cs="宋体"/>
          <w:kern w:val="0"/>
          <w:sz w:val="24"/>
        </w:rPr>
      </w:pPr>
      <w:r>
        <w:rPr>
          <w:rFonts w:hint="eastAsia" w:ascii="宋体" w:hAnsi="宋体" w:cs="宋体"/>
          <w:kern w:val="0"/>
          <w:sz w:val="24"/>
        </w:rPr>
        <w:t>4、应急培训。项目质保期内，供应商按照采购人要求，免费向采购人（含设备、产品及系统的使用用户）提供不定期的应急培训；</w:t>
      </w:r>
    </w:p>
    <w:p>
      <w:pPr>
        <w:pStyle w:val="16"/>
        <w:spacing w:line="560" w:lineRule="exact"/>
        <w:rPr>
          <w:rFonts w:ascii="宋体" w:hAnsi="宋体" w:cs="宋体"/>
          <w:kern w:val="0"/>
          <w:sz w:val="24"/>
        </w:rPr>
      </w:pPr>
      <w:r>
        <w:rPr>
          <w:rFonts w:hint="eastAsia" w:ascii="宋体" w:hAnsi="宋体" w:cs="宋体"/>
          <w:kern w:val="0"/>
        </w:rPr>
        <w:t>▲</w:t>
      </w:r>
      <w:r>
        <w:rPr>
          <w:rFonts w:hint="eastAsia" w:ascii="宋体" w:hAnsi="宋体" w:cs="宋体"/>
          <w:kern w:val="0"/>
          <w:sz w:val="24"/>
        </w:rPr>
        <w:t>（三）质保期及售后要求</w:t>
      </w:r>
    </w:p>
    <w:p>
      <w:pPr>
        <w:spacing w:line="360" w:lineRule="auto"/>
        <w:ind w:firstLine="360" w:firstLineChars="150"/>
        <w:rPr>
          <w:rFonts w:ascii="宋体" w:hAnsi="宋体" w:cs="宋体"/>
          <w:kern w:val="0"/>
          <w:sz w:val="24"/>
        </w:rPr>
      </w:pPr>
      <w:r>
        <w:rPr>
          <w:rFonts w:hint="eastAsia" w:ascii="宋体" w:hAnsi="宋体" w:cs="宋体"/>
          <w:kern w:val="0"/>
          <w:sz w:val="24"/>
        </w:rPr>
        <w:t>1、质保期及服务</w:t>
      </w:r>
    </w:p>
    <w:p>
      <w:pPr>
        <w:spacing w:line="360" w:lineRule="auto"/>
        <w:ind w:firstLine="495"/>
        <w:rPr>
          <w:rFonts w:ascii="宋体" w:hAnsi="宋体" w:cs="宋体"/>
          <w:kern w:val="0"/>
          <w:sz w:val="24"/>
        </w:rPr>
      </w:pPr>
      <w:r>
        <w:rPr>
          <w:rFonts w:hint="eastAsia" w:ascii="宋体" w:hAnsi="宋体" w:cs="宋体"/>
          <w:kern w:val="0"/>
          <w:sz w:val="24"/>
        </w:rPr>
        <w:t>供应商对本采购项目所有产品提供36个月全质保期服务，质保期自验收合格之日起计算。</w:t>
      </w:r>
    </w:p>
    <w:p>
      <w:pPr>
        <w:spacing w:line="360" w:lineRule="auto"/>
        <w:ind w:firstLine="495"/>
        <w:rPr>
          <w:rFonts w:ascii="宋体" w:hAnsi="宋体" w:cs="宋体"/>
          <w:kern w:val="0"/>
          <w:sz w:val="24"/>
        </w:rPr>
      </w:pPr>
      <w:r>
        <w:rPr>
          <w:rFonts w:hint="eastAsia" w:ascii="宋体" w:hAnsi="宋体" w:cs="宋体"/>
          <w:kern w:val="0"/>
          <w:sz w:val="24"/>
        </w:rPr>
        <w:t>2、售后服务</w:t>
      </w:r>
    </w:p>
    <w:p>
      <w:pPr>
        <w:spacing w:line="360" w:lineRule="auto"/>
        <w:ind w:firstLine="495"/>
        <w:rPr>
          <w:rFonts w:ascii="宋体" w:hAnsi="宋体" w:cs="宋体"/>
          <w:kern w:val="0"/>
          <w:sz w:val="24"/>
        </w:rPr>
      </w:pPr>
      <w:r>
        <w:rPr>
          <w:rFonts w:hint="eastAsia" w:ascii="宋体" w:hAnsi="宋体" w:cs="宋体"/>
          <w:kern w:val="0"/>
          <w:sz w:val="24"/>
        </w:rPr>
        <w:t>质保期内：投标人免费向采购人提供以下全免费服务（但人为因素、使用环境因素（如：使用环境潮湿、进水等），自然因素（如：火灾、地震、雷击等）造成的故障除外）。</w:t>
      </w:r>
      <w:r>
        <w:rPr>
          <w:rFonts w:hint="eastAsia" w:ascii="宋体" w:hAnsi="宋体" w:cs="宋体"/>
          <w:kern w:val="0"/>
          <w:sz w:val="24"/>
        </w:rPr>
        <w:br w:type="textWrapping"/>
      </w:r>
      <w:r>
        <w:rPr>
          <w:rFonts w:hint="eastAsia" w:ascii="宋体" w:hAnsi="宋体" w:cs="宋体"/>
          <w:kern w:val="0"/>
          <w:sz w:val="24"/>
        </w:rPr>
        <w:t xml:space="preserve">   （1）故障处理：项目设备、系统故障诊断、处理与排除等。</w:t>
      </w:r>
      <w:r>
        <w:rPr>
          <w:rFonts w:hint="eastAsia" w:ascii="宋体" w:hAnsi="宋体" w:cs="宋体"/>
          <w:kern w:val="0"/>
          <w:sz w:val="24"/>
        </w:rPr>
        <w:br w:type="textWrapping"/>
      </w:r>
      <w:r>
        <w:rPr>
          <w:rFonts w:hint="eastAsia" w:ascii="宋体" w:hAnsi="宋体" w:cs="宋体"/>
          <w:kern w:val="0"/>
          <w:sz w:val="24"/>
        </w:rPr>
        <w:t xml:space="preserve">   （2）项目巡检：每学期对每校区开展不低于</w:t>
      </w:r>
      <w:r>
        <w:rPr>
          <w:rFonts w:ascii="宋体" w:hAnsi="宋体" w:cs="宋体"/>
          <w:kern w:val="0"/>
          <w:sz w:val="24"/>
        </w:rPr>
        <w:t>2</w:t>
      </w:r>
      <w:r>
        <w:rPr>
          <w:rFonts w:hint="eastAsia" w:ascii="宋体" w:hAnsi="宋体" w:cs="宋体"/>
          <w:kern w:val="0"/>
          <w:sz w:val="24"/>
        </w:rPr>
        <w:t xml:space="preserve"> 次的现场巡检服务，每次巡检工作完成后的一星期内，向采购人提交《巡检报告》。</w:t>
      </w:r>
      <w:r>
        <w:rPr>
          <w:rFonts w:hint="eastAsia" w:ascii="宋体" w:hAnsi="宋体" w:cs="宋体"/>
          <w:kern w:val="0"/>
          <w:sz w:val="24"/>
        </w:rPr>
        <w:br w:type="textWrapping"/>
      </w:r>
      <w:r>
        <w:rPr>
          <w:rFonts w:hint="eastAsia" w:ascii="宋体" w:hAnsi="宋体" w:cs="宋体"/>
          <w:kern w:val="0"/>
          <w:sz w:val="24"/>
        </w:rPr>
        <w:t xml:space="preserve">   （3）故障响应：投标人在接到通知后 4 小时内（包括法定节假日）到达现场，及时排除故障；如发生安全隐患必须在 2 小时内排除。如不能及时解决的，投标人应无偿提供备机供采购人使用，并承担相应费用。</w:t>
      </w:r>
      <w:r>
        <w:rPr>
          <w:rFonts w:hint="eastAsia" w:ascii="宋体" w:hAnsi="宋体" w:cs="宋体"/>
          <w:kern w:val="0"/>
          <w:sz w:val="24"/>
        </w:rPr>
        <w:br w:type="textWrapping"/>
      </w:r>
      <w:r>
        <w:rPr>
          <w:rFonts w:hint="eastAsia" w:ascii="宋体" w:hAnsi="宋体" w:cs="宋体"/>
          <w:kern w:val="0"/>
          <w:sz w:val="24"/>
        </w:rPr>
        <w:t xml:space="preserve">   （4）应急响应：向采购人提供每周 7×24 小时应急响应服务。</w:t>
      </w:r>
      <w:r>
        <w:rPr>
          <w:rFonts w:hint="eastAsia" w:ascii="宋体" w:hAnsi="宋体" w:cs="宋体"/>
          <w:kern w:val="0"/>
          <w:sz w:val="24"/>
        </w:rPr>
        <w:br w:type="textWrapping"/>
      </w:r>
      <w:r>
        <w:rPr>
          <w:rFonts w:hint="eastAsia" w:ascii="宋体" w:hAnsi="宋体" w:cs="宋体"/>
          <w:kern w:val="0"/>
          <w:sz w:val="24"/>
        </w:rPr>
        <w:t xml:space="preserve">   （5）备机/备件服务：特殊情况下，若在 24 小时无法排除故障，经采购人许可，供应商应提供同等档次、性能的备机/备件用于采购人应急使用，确保学校教育教学等工作正常开展。</w:t>
      </w:r>
      <w:r>
        <w:rPr>
          <w:rFonts w:hint="eastAsia" w:ascii="宋体" w:hAnsi="宋体" w:cs="宋体"/>
          <w:kern w:val="0"/>
          <w:sz w:val="24"/>
        </w:rPr>
        <w:br w:type="textWrapping"/>
      </w:r>
      <w:r>
        <w:rPr>
          <w:rFonts w:hint="eastAsia" w:ascii="宋体" w:hAnsi="宋体" w:cs="宋体"/>
          <w:kern w:val="0"/>
          <w:sz w:val="24"/>
        </w:rPr>
        <w:t xml:space="preserve">   （6）用户调研：投标人对采购人使用情况进行充分调研，对使用意见及时回应。 质保期外，投标人的故障响应时间为接到采购人报障电话8 小时（包括法定节假日），故障排除时间为 48 小时（包括故障诊断、排除和交通时间）。提供技术服务并适量收费易损件、易耗件费用，并负责现场更换。</w:t>
      </w:r>
      <w:r>
        <w:rPr>
          <w:rFonts w:hint="eastAsia" w:ascii="宋体" w:hAnsi="宋体" w:cs="宋体"/>
          <w:kern w:val="0"/>
          <w:sz w:val="24"/>
        </w:rPr>
        <w:br w:type="textWrapping"/>
      </w:r>
      <w:r>
        <w:rPr>
          <w:rFonts w:hint="eastAsia" w:ascii="宋体" w:hAnsi="宋体" w:cs="宋体"/>
          <w:kern w:val="0"/>
          <w:sz w:val="24"/>
        </w:rPr>
        <w:t xml:space="preserve">    3、投标人应承诺在本地设置长期、稳定的维护人员及联系方式。若遇变更，及时书面告知采购人。</w:t>
      </w:r>
    </w:p>
    <w:p>
      <w:pPr>
        <w:pStyle w:val="16"/>
        <w:spacing w:line="560" w:lineRule="exact"/>
        <w:ind w:firstLine="420" w:firstLineChars="200"/>
        <w:rPr>
          <w:rFonts w:ascii="宋体" w:hAnsi="宋体" w:cs="宋体"/>
          <w:w w:val="99"/>
          <w:kern w:val="0"/>
          <w:sz w:val="24"/>
        </w:rPr>
      </w:pPr>
      <w:r>
        <w:rPr>
          <w:rFonts w:hint="eastAsia" w:ascii="宋体" w:hAnsi="宋体" w:cs="宋体"/>
          <w:kern w:val="0"/>
        </w:rPr>
        <w:t>▲（四）</w:t>
      </w:r>
      <w:r>
        <w:rPr>
          <w:rFonts w:hint="eastAsia" w:ascii="宋体" w:hAnsi="宋体" w:cs="宋体"/>
          <w:kern w:val="0"/>
          <w:sz w:val="24"/>
        </w:rPr>
        <w:t>项目验收</w:t>
      </w:r>
    </w:p>
    <w:p>
      <w:pPr>
        <w:spacing w:line="360" w:lineRule="auto"/>
        <w:ind w:firstLine="480" w:firstLineChars="200"/>
        <w:rPr>
          <w:rFonts w:ascii="宋体" w:hAnsi="宋体" w:cs="宋体"/>
          <w:sz w:val="24"/>
        </w:rPr>
      </w:pPr>
      <w:r>
        <w:rPr>
          <w:rFonts w:hint="eastAsia" w:ascii="宋体" w:hAnsi="宋体" w:cs="宋体"/>
          <w:sz w:val="24"/>
        </w:rPr>
        <w:t>乙方按采购要求，完成全部货物产品供应、安装调试，完成项目全部内容建设，且项目货物产品技术指标、应用使用功能等符合项目采购文件要求后，乙方提出验收申请，甲方在收到验收申请后，组织相关人员在10个工作日内进行项目验收。乙方应当配合甲方准备验收所需的材料（包括但不限于：招标文件、投标文件、合同及核心产品的质检合格报告和试运行记录等）；</w:t>
      </w:r>
    </w:p>
    <w:p>
      <w:pPr>
        <w:pStyle w:val="2"/>
        <w:spacing w:line="360" w:lineRule="auto"/>
        <w:ind w:firstLine="480" w:firstLineChars="200"/>
        <w:rPr>
          <w:rFonts w:ascii="宋体" w:hAnsi="宋体" w:eastAsia="宋体" w:cs="宋体"/>
          <w:color w:val="auto"/>
          <w:kern w:val="2"/>
        </w:rPr>
      </w:pPr>
      <w:r>
        <w:rPr>
          <w:rFonts w:hint="eastAsia" w:ascii="宋体" w:hAnsi="宋体" w:eastAsia="宋体" w:cs="宋体"/>
          <w:color w:val="auto"/>
          <w:kern w:val="2"/>
        </w:rPr>
        <w:t>本项目将严格按照政府采购相关法律法规以及《四川省政府采购项目需求论证和履约验收管理办法》（川财采〔2015〕32号）的要求进行验收。</w:t>
      </w:r>
    </w:p>
    <w:p>
      <w:pPr>
        <w:pStyle w:val="16"/>
        <w:spacing w:line="560" w:lineRule="exact"/>
        <w:rPr>
          <w:rFonts w:ascii="宋体" w:hAnsi="宋体" w:cs="宋体"/>
          <w:w w:val="99"/>
          <w:kern w:val="0"/>
          <w:sz w:val="24"/>
        </w:rPr>
      </w:pPr>
      <w:r>
        <w:rPr>
          <w:rFonts w:hint="eastAsia" w:ascii="宋体" w:hAnsi="宋体" w:cs="宋体"/>
          <w:kern w:val="0"/>
        </w:rPr>
        <w:t>▲（五）</w:t>
      </w:r>
      <w:r>
        <w:rPr>
          <w:rFonts w:hint="eastAsia" w:ascii="宋体" w:hAnsi="宋体" w:cs="宋体"/>
          <w:w w:val="99"/>
          <w:kern w:val="0"/>
          <w:sz w:val="24"/>
        </w:rPr>
        <w:t>付款方式</w:t>
      </w:r>
    </w:p>
    <w:p>
      <w:pPr>
        <w:numPr>
          <w:ilvl w:val="0"/>
          <w:numId w:val="3"/>
        </w:numPr>
        <w:spacing w:line="360" w:lineRule="auto"/>
        <w:ind w:left="-240" w:leftChars="0" w:firstLine="240" w:firstLineChars="0"/>
        <w:rPr>
          <w:rFonts w:ascii="宋体" w:hAnsi="宋体" w:cs="宋体"/>
          <w:b/>
          <w:bCs/>
          <w:sz w:val="24"/>
        </w:rPr>
      </w:pPr>
      <w:r>
        <w:rPr>
          <w:rFonts w:hint="eastAsia" w:ascii="宋体" w:hAnsi="宋体" w:cs="宋体"/>
          <w:bCs/>
          <w:sz w:val="24"/>
        </w:rPr>
        <w:t>第一次付款：投标人将货物交付给采购人，提供送货清单</w:t>
      </w:r>
      <w:r>
        <w:rPr>
          <w:rFonts w:hint="eastAsia" w:ascii="宋体" w:hAnsi="宋体" w:cs="宋体"/>
          <w:bCs/>
          <w:sz w:val="24"/>
          <w:lang w:eastAsia="zh-CN"/>
        </w:rPr>
        <w:t>，</w:t>
      </w:r>
      <w:r>
        <w:rPr>
          <w:rFonts w:hint="eastAsia" w:ascii="宋体" w:hAnsi="宋体" w:cs="宋体"/>
          <w:bCs/>
          <w:sz w:val="24"/>
        </w:rPr>
        <w:t>待投标人产品安装完成并验收合格后</w:t>
      </w:r>
      <w:r>
        <w:rPr>
          <w:rFonts w:hint="eastAsia" w:ascii="宋体" w:hAnsi="宋体" w:cs="宋体"/>
          <w:bCs/>
          <w:sz w:val="24"/>
          <w:lang w:eastAsia="zh-Hans"/>
        </w:rPr>
        <w:t>，</w:t>
      </w:r>
      <w:r>
        <w:rPr>
          <w:rFonts w:hint="eastAsia" w:ascii="宋体" w:hAnsi="宋体" w:cs="宋体"/>
          <w:bCs/>
          <w:sz w:val="24"/>
          <w:lang w:eastAsia="zh-CN"/>
        </w:rPr>
        <w:t>采购人</w:t>
      </w:r>
      <w:r>
        <w:rPr>
          <w:rFonts w:hint="eastAsia" w:ascii="宋体" w:hAnsi="宋体" w:cs="宋体"/>
          <w:bCs/>
          <w:sz w:val="24"/>
        </w:rPr>
        <w:t>支付合同总价款的</w:t>
      </w:r>
      <w:r>
        <w:rPr>
          <w:rFonts w:hint="default" w:ascii="宋体" w:hAnsi="宋体" w:cs="宋体"/>
          <w:bCs/>
          <w:sz w:val="24"/>
        </w:rPr>
        <w:t>60</w:t>
      </w:r>
      <w:r>
        <w:rPr>
          <w:rFonts w:hint="eastAsia" w:ascii="宋体" w:hAnsi="宋体" w:cs="宋体"/>
          <w:bCs/>
          <w:sz w:val="24"/>
        </w:rPr>
        <w:t>%，乙方需提供正规的增值税普通发票或专用发票。</w:t>
      </w:r>
      <w:r>
        <w:rPr>
          <w:rFonts w:hint="eastAsia" w:ascii="宋体" w:hAnsi="宋体" w:cs="宋体"/>
          <w:sz w:val="24"/>
        </w:rPr>
        <w:br w:type="textWrapping"/>
      </w:r>
      <w:r>
        <w:rPr>
          <w:rFonts w:hint="eastAsia" w:ascii="宋体" w:hAnsi="宋体" w:cs="宋体"/>
          <w:sz w:val="24"/>
        </w:rPr>
        <w:t xml:space="preserve">  （2）</w:t>
      </w:r>
      <w:r>
        <w:rPr>
          <w:rFonts w:hint="eastAsia" w:ascii="宋体" w:hAnsi="宋体" w:cs="宋体"/>
          <w:bCs/>
          <w:sz w:val="24"/>
        </w:rPr>
        <w:t>第二次付款：</w:t>
      </w:r>
      <w:bookmarkEnd w:id="87"/>
      <w:r>
        <w:rPr>
          <w:rFonts w:hint="eastAsia" w:ascii="宋体" w:hAnsi="宋体" w:cs="宋体"/>
          <w:bCs/>
          <w:sz w:val="24"/>
        </w:rPr>
        <w:t>待投标人产品安装完成并验收合格后</w:t>
      </w:r>
      <w:r>
        <w:rPr>
          <w:rFonts w:hint="eastAsia" w:ascii="宋体" w:hAnsi="宋体" w:cs="宋体"/>
          <w:bCs/>
          <w:sz w:val="24"/>
          <w:lang w:eastAsia="zh-CN"/>
        </w:rPr>
        <w:t>满</w:t>
      </w:r>
      <w:r>
        <w:rPr>
          <w:rFonts w:ascii="宋体" w:hAnsi="宋体" w:cs="宋体"/>
          <w:bCs/>
          <w:sz w:val="24"/>
        </w:rPr>
        <w:t>1</w:t>
      </w:r>
      <w:r>
        <w:rPr>
          <w:rFonts w:hint="eastAsia" w:ascii="宋体" w:hAnsi="宋体" w:cs="宋体"/>
          <w:bCs/>
          <w:sz w:val="24"/>
          <w:lang w:eastAsia="zh-Hans"/>
        </w:rPr>
        <w:t>年</w:t>
      </w:r>
      <w:r>
        <w:rPr>
          <w:rFonts w:hint="eastAsia" w:ascii="宋体" w:hAnsi="宋体" w:cs="宋体"/>
          <w:bCs/>
          <w:sz w:val="24"/>
        </w:rPr>
        <w:t>，采购人支付合同总金额的</w:t>
      </w:r>
      <w:r>
        <w:rPr>
          <w:rFonts w:hint="default" w:ascii="宋体" w:hAnsi="宋体" w:cs="宋体"/>
          <w:bCs/>
          <w:sz w:val="24"/>
        </w:rPr>
        <w:t>40</w:t>
      </w:r>
      <w:r>
        <w:rPr>
          <w:rFonts w:hint="eastAsia" w:ascii="宋体" w:hAnsi="宋体" w:cs="宋体"/>
          <w:bCs/>
          <w:sz w:val="24"/>
        </w:rPr>
        <w:t>%，乙方需提供正规的增值税普通发票或专用发票。</w:t>
      </w:r>
    </w:p>
    <w:p>
      <w:pPr>
        <w:jc w:val="center"/>
        <w:outlineLvl w:val="0"/>
        <w:rPr>
          <w:rFonts w:ascii="宋体" w:hAnsi="宋体" w:cs="宋体"/>
          <w:b/>
          <w:sz w:val="32"/>
          <w:szCs w:val="32"/>
        </w:rPr>
      </w:pPr>
      <w:r>
        <w:rPr>
          <w:rFonts w:hint="eastAsia" w:ascii="宋体" w:hAnsi="宋体" w:cs="宋体"/>
          <w:b/>
          <w:sz w:val="32"/>
          <w:szCs w:val="32"/>
        </w:rPr>
        <w:br w:type="page"/>
      </w:r>
      <w:bookmarkStart w:id="98" w:name="_Toc26642_WPSOffice_Level1"/>
      <w:bookmarkStart w:id="99" w:name="_Toc19366"/>
      <w:r>
        <w:rPr>
          <w:rFonts w:hint="eastAsia" w:ascii="宋体" w:hAnsi="宋体" w:cs="宋体"/>
          <w:b/>
          <w:sz w:val="32"/>
          <w:szCs w:val="32"/>
        </w:rPr>
        <w:t>第四部分 评比办法及评比标准</w:t>
      </w:r>
      <w:bookmarkEnd w:id="71"/>
      <w:bookmarkEnd w:id="98"/>
      <w:bookmarkEnd w:id="99"/>
    </w:p>
    <w:p>
      <w:pPr>
        <w:spacing w:line="360" w:lineRule="auto"/>
        <w:ind w:firstLine="567"/>
        <w:rPr>
          <w:rFonts w:ascii="宋体" w:hAnsi="宋体" w:cs="宋体"/>
          <w:kern w:val="0"/>
          <w:sz w:val="24"/>
          <w:lang w:val="zh-CN"/>
        </w:rPr>
      </w:pPr>
      <w:r>
        <w:rPr>
          <w:rFonts w:hint="eastAsia" w:ascii="宋体" w:hAnsi="宋体" w:cs="宋体"/>
          <w:sz w:val="24"/>
        </w:rPr>
        <w:t>一、成都</w:t>
      </w:r>
      <w:r>
        <w:rPr>
          <w:rFonts w:hint="eastAsia" w:ascii="宋体" w:hAnsi="宋体" w:cs="宋体"/>
          <w:sz w:val="24"/>
          <w:lang w:eastAsia="zh-Hans"/>
        </w:rPr>
        <w:t>七中初中学校</w:t>
      </w:r>
      <w:r>
        <w:rPr>
          <w:rFonts w:hint="eastAsia" w:ascii="宋体" w:hAnsi="宋体" w:cs="宋体"/>
          <w:kern w:val="0"/>
          <w:sz w:val="24"/>
          <w:lang w:val="zh-CN"/>
        </w:rPr>
        <w:t>将组织评比小组对各比选申请人的比选申请书进行评审。</w:t>
      </w:r>
    </w:p>
    <w:p>
      <w:pPr>
        <w:spacing w:line="360" w:lineRule="auto"/>
        <w:ind w:firstLine="567"/>
        <w:rPr>
          <w:rFonts w:ascii="宋体" w:hAnsi="宋体" w:cs="宋体"/>
          <w:sz w:val="24"/>
        </w:rPr>
      </w:pPr>
      <w:r>
        <w:rPr>
          <w:rFonts w:hint="eastAsia" w:ascii="宋体" w:hAnsi="宋体" w:cs="宋体"/>
          <w:sz w:val="24"/>
        </w:rPr>
        <w:t>二、评比内容与评比程序</w:t>
      </w:r>
    </w:p>
    <w:p>
      <w:pPr>
        <w:spacing w:line="360" w:lineRule="auto"/>
        <w:ind w:firstLine="567"/>
        <w:rPr>
          <w:rFonts w:ascii="宋体" w:hAnsi="宋体" w:cs="宋体"/>
          <w:sz w:val="24"/>
        </w:rPr>
      </w:pPr>
      <w:r>
        <w:rPr>
          <w:rFonts w:hint="eastAsia" w:ascii="宋体" w:hAnsi="宋体" w:cs="宋体"/>
          <w:sz w:val="24"/>
        </w:rPr>
        <w:t>（一）评比内容：资格、符合性审查。</w:t>
      </w:r>
    </w:p>
    <w:p>
      <w:pPr>
        <w:spacing w:line="360" w:lineRule="auto"/>
        <w:ind w:firstLine="567"/>
        <w:rPr>
          <w:rFonts w:ascii="宋体" w:hAnsi="宋体" w:cs="宋体"/>
          <w:sz w:val="24"/>
        </w:rPr>
      </w:pPr>
      <w:r>
        <w:rPr>
          <w:rFonts w:hint="eastAsia" w:ascii="宋体" w:hAnsi="宋体" w:cs="宋体"/>
          <w:sz w:val="24"/>
        </w:rPr>
        <w:t>（二）评比程序及规定</w:t>
      </w:r>
    </w:p>
    <w:p>
      <w:pPr>
        <w:spacing w:line="360" w:lineRule="auto"/>
        <w:ind w:firstLine="567"/>
        <w:rPr>
          <w:rFonts w:ascii="宋体" w:hAnsi="宋体" w:cs="宋体"/>
          <w:sz w:val="24"/>
        </w:rPr>
      </w:pPr>
      <w:r>
        <w:rPr>
          <w:rFonts w:hint="eastAsia" w:ascii="宋体" w:hAnsi="宋体" w:cs="宋体"/>
          <w:sz w:val="24"/>
        </w:rPr>
        <w:t>1、评比程序如下：组建评比小组→资格、符合性审查→评审→完成比选评审报告</w:t>
      </w:r>
    </w:p>
    <w:p>
      <w:pPr>
        <w:spacing w:line="360" w:lineRule="auto"/>
        <w:ind w:firstLine="567"/>
        <w:rPr>
          <w:rFonts w:ascii="宋体" w:hAnsi="宋体" w:cs="宋体"/>
          <w:sz w:val="24"/>
        </w:rPr>
      </w:pPr>
      <w:r>
        <w:rPr>
          <w:rFonts w:hint="eastAsia" w:ascii="宋体" w:hAnsi="宋体" w:cs="宋体"/>
          <w:sz w:val="24"/>
        </w:rPr>
        <w:t>2、评比规定</w:t>
      </w:r>
    </w:p>
    <w:p>
      <w:pPr>
        <w:tabs>
          <w:tab w:val="left" w:pos="0"/>
          <w:tab w:val="left" w:pos="900"/>
        </w:tabs>
        <w:spacing w:line="360" w:lineRule="auto"/>
        <w:ind w:firstLine="508" w:firstLineChars="212"/>
        <w:rPr>
          <w:rFonts w:ascii="宋体" w:hAnsi="宋体" w:cs="宋体"/>
          <w:sz w:val="24"/>
        </w:rPr>
      </w:pPr>
      <w:r>
        <w:rPr>
          <w:rFonts w:hint="eastAsia" w:ascii="宋体" w:hAnsi="宋体" w:cs="宋体"/>
          <w:sz w:val="24"/>
        </w:rPr>
        <w:t>评比小组按照本办法对通过资格、符合性审查的比选申请人，依据评比标准推荐中选候选人。</w:t>
      </w:r>
    </w:p>
    <w:p>
      <w:pPr>
        <w:spacing w:line="360" w:lineRule="auto"/>
        <w:ind w:left="538"/>
        <w:rPr>
          <w:rFonts w:ascii="宋体" w:hAnsi="宋体" w:cs="宋体"/>
          <w:sz w:val="24"/>
        </w:rPr>
      </w:pPr>
      <w:r>
        <w:rPr>
          <w:rFonts w:hint="eastAsia" w:ascii="宋体" w:hAnsi="宋体" w:cs="宋体"/>
          <w:sz w:val="24"/>
        </w:rPr>
        <w:t>三、评审方法</w:t>
      </w:r>
    </w:p>
    <w:p>
      <w:pPr>
        <w:numPr>
          <w:ilvl w:val="0"/>
          <w:numId w:val="4"/>
        </w:numPr>
        <w:tabs>
          <w:tab w:val="left" w:pos="1571"/>
        </w:tabs>
        <w:spacing w:line="360" w:lineRule="auto"/>
        <w:rPr>
          <w:rFonts w:ascii="宋体" w:hAnsi="宋体" w:cs="宋体"/>
          <w:sz w:val="24"/>
        </w:rPr>
      </w:pPr>
      <w:r>
        <w:rPr>
          <w:rFonts w:hint="eastAsia" w:ascii="宋体" w:hAnsi="宋体" w:cs="宋体"/>
          <w:sz w:val="24"/>
        </w:rPr>
        <w:t>比选申请书的资格、符合性审查</w:t>
      </w:r>
    </w:p>
    <w:tbl>
      <w:tblPr>
        <w:tblStyle w:val="36"/>
        <w:tblW w:w="0" w:type="auto"/>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
        <w:gridCol w:w="3402"/>
        <w:gridCol w:w="39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1"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b/>
                <w:bCs/>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b/>
                <w:bCs/>
                <w:sz w:val="24"/>
              </w:rPr>
              <w:t>审查内容</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b/>
                <w:bCs/>
                <w:sz w:val="24"/>
              </w:rPr>
              <w:t>通过条件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1"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1</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比选申请函</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2</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营业执照</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8"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法定代表人身份证明书</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7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4</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法定代表人授权书（签字人为法定代表人的，可不提供）</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5"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5</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比选资格承诺函</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5"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6</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签字、盖章</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5"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7</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比选文件实质性要求</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宋体"/>
                <w:sz w:val="24"/>
              </w:rPr>
              <w:t>符合比选文件要求</w:t>
            </w:r>
          </w:p>
        </w:tc>
      </w:tr>
    </w:tbl>
    <w:p>
      <w:pPr>
        <w:rPr>
          <w:rFonts w:ascii="宋体" w:hAnsi="宋体" w:cs="宋体"/>
        </w:rPr>
      </w:pPr>
    </w:p>
    <w:p>
      <w:pPr>
        <w:spacing w:line="360" w:lineRule="auto"/>
        <w:ind w:firstLine="563" w:firstLineChars="201"/>
        <w:rPr>
          <w:rFonts w:ascii="宋体" w:hAnsi="宋体" w:cs="宋体"/>
          <w:b/>
          <w:sz w:val="28"/>
          <w:szCs w:val="28"/>
        </w:rPr>
      </w:pPr>
      <w:r>
        <w:rPr>
          <w:rFonts w:hint="eastAsia" w:ascii="宋体" w:hAnsi="宋体" w:cs="宋体"/>
          <w:b/>
          <w:sz w:val="28"/>
          <w:szCs w:val="28"/>
        </w:rPr>
        <w:t>以上条款全部满足通过条件其结论为通过，其中任何一项不满足通过条件其结论为不通过。</w:t>
      </w:r>
    </w:p>
    <w:p>
      <w:pPr>
        <w:pStyle w:val="16"/>
        <w:rPr>
          <w:rFonts w:ascii="宋体" w:hAnsi="宋体" w:cs="宋体"/>
        </w:rPr>
      </w:pPr>
    </w:p>
    <w:p>
      <w:pPr>
        <w:spacing w:line="360" w:lineRule="auto"/>
        <w:ind w:firstLine="567"/>
        <w:rPr>
          <w:rFonts w:hint="eastAsia" w:ascii="宋体" w:hAnsi="宋体" w:eastAsia="宋体" w:cs="宋体"/>
          <w:sz w:val="24"/>
          <w:lang w:eastAsia="zh-CN"/>
        </w:rPr>
      </w:pPr>
      <w:r>
        <w:rPr>
          <w:rFonts w:hint="eastAsia" w:ascii="宋体" w:hAnsi="宋体" w:cs="宋体"/>
          <w:sz w:val="24"/>
        </w:rPr>
        <w:t>（二）评</w:t>
      </w:r>
      <w:r>
        <w:rPr>
          <w:rFonts w:hint="eastAsia" w:ascii="宋体" w:hAnsi="宋体" w:cs="宋体"/>
          <w:sz w:val="24"/>
          <w:lang w:eastAsia="zh-CN"/>
        </w:rPr>
        <w:t>比办法</w:t>
      </w:r>
    </w:p>
    <w:p>
      <w:pPr>
        <w:pStyle w:val="24"/>
        <w:ind w:firstLine="480"/>
        <w:rPr>
          <w:rFonts w:ascii="宋体" w:hAnsi="宋体" w:cs="宋体"/>
          <w:sz w:val="24"/>
        </w:rPr>
      </w:pPr>
      <w:bookmarkStart w:id="100" w:name="1.询价程序"/>
      <w:bookmarkEnd w:id="100"/>
      <w:bookmarkStart w:id="101" w:name="_Toc425509597"/>
      <w:bookmarkStart w:id="102" w:name="_Toc366248830"/>
      <w:bookmarkStart w:id="103" w:name="_Toc221692968"/>
      <w:r>
        <w:rPr>
          <w:rFonts w:ascii="宋体" w:hAnsi="宋体" w:cs="宋体"/>
          <w:sz w:val="24"/>
        </w:rPr>
        <w:t>1</w:t>
      </w:r>
      <w:r>
        <w:rPr>
          <w:rFonts w:hint="eastAsia" w:ascii="宋体" w:hAnsi="宋体" w:cs="宋体"/>
          <w:sz w:val="24"/>
          <w:lang w:eastAsia="zh-CN"/>
        </w:rPr>
        <w:t>、评比</w:t>
      </w:r>
      <w:r>
        <w:rPr>
          <w:rFonts w:ascii="宋体" w:hAnsi="宋体" w:cs="宋体"/>
          <w:sz w:val="24"/>
        </w:rPr>
        <w:t>程序</w:t>
      </w:r>
    </w:p>
    <w:p>
      <w:pPr>
        <w:pStyle w:val="24"/>
        <w:ind w:firstLine="480"/>
        <w:rPr>
          <w:rFonts w:ascii="宋体" w:hAnsi="宋体" w:cs="宋体"/>
          <w:sz w:val="24"/>
        </w:rPr>
      </w:pPr>
      <w:r>
        <w:rPr>
          <w:rFonts w:ascii="宋体" w:hAnsi="宋体" w:cs="宋体"/>
          <w:sz w:val="24"/>
        </w:rPr>
        <w:t>供应商签到并递交响应文件。</w:t>
      </w:r>
    </w:p>
    <w:p>
      <w:pPr>
        <w:pStyle w:val="24"/>
        <w:ind w:firstLine="480"/>
        <w:rPr>
          <w:rFonts w:ascii="宋体" w:hAnsi="宋体" w:cs="宋体"/>
          <w:sz w:val="24"/>
        </w:rPr>
      </w:pPr>
      <w:r>
        <w:rPr>
          <w:rFonts w:hint="eastAsia" w:ascii="宋体" w:hAnsi="宋体" w:cs="宋体"/>
          <w:sz w:val="24"/>
          <w:lang w:val="en-US" w:eastAsia="zh-CN"/>
        </w:rPr>
        <w:t>1.1</w:t>
      </w:r>
      <w:r>
        <w:rPr>
          <w:rFonts w:ascii="宋体" w:hAnsi="宋体" w:cs="宋体"/>
          <w:sz w:val="24"/>
        </w:rPr>
        <w:t>资格审查。</w:t>
      </w:r>
    </w:p>
    <w:p>
      <w:pPr>
        <w:pStyle w:val="24"/>
        <w:rPr>
          <w:rFonts w:ascii="宋体" w:hAnsi="宋体" w:cs="宋体"/>
          <w:sz w:val="24"/>
        </w:rPr>
      </w:pPr>
      <w:r>
        <w:rPr>
          <w:rFonts w:ascii="宋体" w:hAnsi="宋体" w:cs="宋体"/>
          <w:sz w:val="24"/>
        </w:rPr>
        <w:t>出具资格审查报告，当场宣布资格审查结果，并告知未通过资格审查的供应商未通过资格审查的原因，但涉及商业秘密的除外。</w:t>
      </w:r>
    </w:p>
    <w:p>
      <w:pPr>
        <w:pStyle w:val="24"/>
        <w:ind w:firstLine="480"/>
        <w:rPr>
          <w:rFonts w:ascii="宋体" w:hAnsi="宋体" w:cs="宋体"/>
          <w:sz w:val="24"/>
        </w:rPr>
      </w:pPr>
      <w:r>
        <w:rPr>
          <w:rFonts w:hint="eastAsia" w:ascii="宋体" w:hAnsi="宋体" w:cs="宋体"/>
          <w:sz w:val="24"/>
          <w:lang w:eastAsia="zh-CN"/>
        </w:rPr>
        <w:t>评比小组</w:t>
      </w:r>
      <w:r>
        <w:rPr>
          <w:rFonts w:ascii="宋体" w:hAnsi="宋体" w:cs="宋体"/>
          <w:sz w:val="24"/>
        </w:rPr>
        <w:t>按照</w:t>
      </w:r>
      <w:r>
        <w:rPr>
          <w:rFonts w:hint="eastAsia" w:ascii="宋体" w:hAnsi="宋体" w:cs="宋体"/>
          <w:sz w:val="24"/>
          <w:lang w:eastAsia="zh-CN"/>
        </w:rPr>
        <w:t>评审</w:t>
      </w:r>
      <w:r>
        <w:rPr>
          <w:rFonts w:ascii="宋体" w:hAnsi="宋体" w:cs="宋体"/>
          <w:sz w:val="24"/>
        </w:rPr>
        <w:t>通知书的规定对供应商的响应文件进行书面审查。</w:t>
      </w:r>
    </w:p>
    <w:p>
      <w:pPr>
        <w:pStyle w:val="24"/>
        <w:ind w:firstLine="480"/>
        <w:rPr>
          <w:rFonts w:ascii="宋体" w:hAnsi="宋体" w:cs="宋体"/>
          <w:sz w:val="24"/>
        </w:rPr>
      </w:pPr>
      <w:r>
        <w:rPr>
          <w:rFonts w:ascii="宋体" w:hAnsi="宋体" w:cs="宋体"/>
          <w:sz w:val="24"/>
        </w:rPr>
        <w:t>所有实质性响应的供应商在规定的时间内一次报出不得更改的价格。</w:t>
      </w:r>
    </w:p>
    <w:p>
      <w:pPr>
        <w:pStyle w:val="24"/>
        <w:ind w:firstLine="480"/>
        <w:rPr>
          <w:rFonts w:ascii="宋体" w:hAnsi="宋体" w:cs="宋体"/>
          <w:sz w:val="24"/>
        </w:rPr>
      </w:pPr>
      <w:r>
        <w:rPr>
          <w:rFonts w:ascii="宋体" w:hAnsi="宋体" w:cs="宋体"/>
          <w:sz w:val="24"/>
        </w:rPr>
        <w:t>供应商报价结束后，</w:t>
      </w:r>
      <w:r>
        <w:rPr>
          <w:rFonts w:hint="eastAsia" w:ascii="宋体" w:hAnsi="宋体" w:cs="宋体"/>
          <w:sz w:val="24"/>
          <w:lang w:eastAsia="zh-CN"/>
        </w:rPr>
        <w:t>评比小组</w:t>
      </w:r>
      <w:r>
        <w:rPr>
          <w:rFonts w:ascii="宋体" w:hAnsi="宋体" w:cs="宋体"/>
          <w:sz w:val="24"/>
        </w:rPr>
        <w:t>拟出具评审报告前，</w:t>
      </w:r>
      <w:r>
        <w:rPr>
          <w:rFonts w:hint="eastAsia" w:ascii="宋体" w:hAnsi="宋体" w:cs="宋体"/>
          <w:sz w:val="24"/>
          <w:lang w:eastAsia="zh-CN"/>
        </w:rPr>
        <w:t>评审</w:t>
      </w:r>
      <w:r>
        <w:rPr>
          <w:rFonts w:ascii="宋体" w:hAnsi="宋体" w:cs="宋体"/>
          <w:sz w:val="24"/>
        </w:rPr>
        <w:t>采购单位应当组织 2 名以上的本单位工作人员，在采购现场监督人员的监督之下，依据有关的法律制度和采购文件对评审结果进行复核，出具复核报告。</w:t>
      </w:r>
    </w:p>
    <w:p>
      <w:pPr>
        <w:pStyle w:val="24"/>
        <w:ind w:firstLine="480"/>
        <w:rPr>
          <w:rFonts w:ascii="宋体" w:hAnsi="宋体" w:cs="宋体"/>
          <w:sz w:val="24"/>
        </w:rPr>
      </w:pPr>
      <w:r>
        <w:rPr>
          <w:rFonts w:hint="eastAsia" w:ascii="宋体" w:hAnsi="宋体" w:cs="宋体"/>
          <w:sz w:val="24"/>
          <w:lang w:eastAsia="zh-CN"/>
        </w:rPr>
        <w:t>评比小组</w:t>
      </w:r>
      <w:r>
        <w:rPr>
          <w:rFonts w:ascii="宋体" w:hAnsi="宋体" w:cs="宋体"/>
          <w:sz w:val="24"/>
        </w:rPr>
        <w:t>编写评审报告。</w:t>
      </w:r>
      <w:r>
        <w:rPr>
          <w:rFonts w:hint="eastAsia" w:ascii="宋体" w:hAnsi="宋体" w:cs="宋体"/>
          <w:sz w:val="24"/>
          <w:lang w:eastAsia="zh-CN"/>
        </w:rPr>
        <w:t>评比小组</w:t>
      </w:r>
      <w:r>
        <w:rPr>
          <w:rFonts w:ascii="宋体" w:hAnsi="宋体" w:cs="宋体"/>
          <w:sz w:val="24"/>
        </w:rPr>
        <w:t>从质量和服务均能满足采购文件实质性要求的供应商中，按照供应商的报价由低到高排序，推荐成交候选供应商。供应商报价相同的，由</w:t>
      </w:r>
      <w:r>
        <w:rPr>
          <w:rFonts w:hint="eastAsia" w:ascii="宋体" w:hAnsi="宋体" w:cs="宋体"/>
          <w:sz w:val="24"/>
          <w:lang w:eastAsia="zh-CN"/>
        </w:rPr>
        <w:t>评比小组</w:t>
      </w:r>
      <w:r>
        <w:rPr>
          <w:rFonts w:ascii="宋体" w:hAnsi="宋体" w:cs="宋体"/>
          <w:sz w:val="24"/>
        </w:rPr>
        <w:t>组织供应商抽签确定推荐的成交候选供应商顺序。</w:t>
      </w:r>
    </w:p>
    <w:p>
      <w:pPr>
        <w:pStyle w:val="24"/>
        <w:ind w:firstLine="480"/>
        <w:rPr>
          <w:rFonts w:ascii="宋体" w:hAnsi="宋体" w:cs="宋体"/>
          <w:sz w:val="24"/>
        </w:rPr>
      </w:pPr>
      <w:r>
        <w:rPr>
          <w:rFonts w:ascii="宋体" w:hAnsi="宋体" w:cs="宋体"/>
          <w:sz w:val="24"/>
        </w:rPr>
        <w:t>采购人根据质量和服务均能满足采购文件实质性要求且报价最低的原则确定成交供应商（也可以书面授权</w:t>
      </w:r>
      <w:r>
        <w:rPr>
          <w:rFonts w:hint="eastAsia" w:ascii="宋体" w:hAnsi="宋体" w:cs="宋体"/>
          <w:sz w:val="24"/>
          <w:lang w:eastAsia="zh-CN"/>
        </w:rPr>
        <w:t>评比小组</w:t>
      </w:r>
      <w:r>
        <w:rPr>
          <w:rFonts w:ascii="宋体" w:hAnsi="宋体" w:cs="宋体"/>
          <w:sz w:val="24"/>
        </w:rPr>
        <w:t>直接确定成交供应商）。</w:t>
      </w:r>
    </w:p>
    <w:p>
      <w:pPr>
        <w:pStyle w:val="24"/>
        <w:ind w:firstLine="480"/>
        <w:rPr>
          <w:rFonts w:ascii="宋体" w:hAnsi="宋体" w:cs="宋体"/>
          <w:sz w:val="24"/>
        </w:rPr>
      </w:pPr>
      <w:r>
        <w:rPr>
          <w:rFonts w:ascii="宋体" w:hAnsi="宋体" w:cs="宋体"/>
          <w:sz w:val="24"/>
        </w:rPr>
        <w:t>发布成交结果公告，发出成交通知书。</w:t>
      </w:r>
    </w:p>
    <w:p>
      <w:pPr>
        <w:pStyle w:val="24"/>
        <w:ind w:firstLine="480"/>
        <w:rPr>
          <w:rFonts w:ascii="宋体" w:hAnsi="宋体" w:cs="宋体"/>
          <w:sz w:val="24"/>
        </w:rPr>
      </w:pPr>
      <w:bookmarkStart w:id="104" w:name="2.评审程序、评审方法、评审标准"/>
      <w:bookmarkEnd w:id="104"/>
      <w:r>
        <w:rPr>
          <w:rFonts w:ascii="宋体" w:hAnsi="宋体" w:cs="宋体"/>
          <w:sz w:val="24"/>
        </w:rPr>
        <w:t>2</w:t>
      </w:r>
      <w:r>
        <w:rPr>
          <w:rFonts w:hint="eastAsia" w:ascii="宋体" w:hAnsi="宋体" w:cs="宋体"/>
          <w:sz w:val="24"/>
          <w:lang w:eastAsia="zh-CN"/>
        </w:rPr>
        <w:t>、</w:t>
      </w:r>
      <w:r>
        <w:rPr>
          <w:rFonts w:ascii="宋体" w:hAnsi="宋体" w:cs="宋体"/>
          <w:sz w:val="24"/>
        </w:rPr>
        <w:t>评审程序、评审方法、评审标准</w:t>
      </w:r>
    </w:p>
    <w:p>
      <w:pPr>
        <w:pStyle w:val="24"/>
        <w:ind w:firstLine="480"/>
        <w:rPr>
          <w:rFonts w:ascii="宋体" w:hAnsi="宋体" w:cs="宋体"/>
          <w:sz w:val="24"/>
        </w:rPr>
      </w:pPr>
      <w:r>
        <w:rPr>
          <w:rFonts w:ascii="宋体" w:hAnsi="宋体" w:cs="宋体"/>
          <w:sz w:val="24"/>
        </w:rPr>
        <w:t>熟悉和理解</w:t>
      </w:r>
      <w:r>
        <w:rPr>
          <w:rFonts w:hint="eastAsia" w:ascii="宋体" w:hAnsi="宋体" w:cs="宋体"/>
          <w:sz w:val="24"/>
          <w:lang w:eastAsia="zh-CN"/>
        </w:rPr>
        <w:t>评审</w:t>
      </w:r>
      <w:r>
        <w:rPr>
          <w:rFonts w:ascii="宋体" w:hAnsi="宋体" w:cs="宋体"/>
          <w:sz w:val="24"/>
        </w:rPr>
        <w:t>通知书和停止评审。</w:t>
      </w:r>
    </w:p>
    <w:p>
      <w:pPr>
        <w:pStyle w:val="24"/>
        <w:ind w:firstLine="480"/>
        <w:rPr>
          <w:rFonts w:ascii="宋体" w:hAnsi="宋体" w:cs="宋体"/>
          <w:sz w:val="24"/>
        </w:rPr>
      </w:pPr>
      <w:r>
        <w:rPr>
          <w:rFonts w:hint="eastAsia" w:ascii="宋体" w:hAnsi="宋体" w:cs="宋体"/>
          <w:sz w:val="24"/>
          <w:lang w:eastAsia="zh-CN"/>
        </w:rPr>
        <w:t>评比小组</w:t>
      </w:r>
      <w:r>
        <w:rPr>
          <w:rFonts w:ascii="宋体" w:hAnsi="宋体" w:cs="宋体"/>
          <w:sz w:val="24"/>
        </w:rPr>
        <w:t>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24"/>
        <w:ind w:firstLine="480"/>
        <w:rPr>
          <w:rFonts w:ascii="宋体" w:hAnsi="宋体" w:cs="宋体"/>
          <w:sz w:val="24"/>
        </w:rPr>
      </w:pPr>
      <w:r>
        <w:rPr>
          <w:rFonts w:ascii="宋体" w:hAnsi="宋体" w:cs="宋体"/>
          <w:sz w:val="24"/>
        </w:rPr>
        <w:t>本询价通知书有下列情形之一的，</w:t>
      </w:r>
      <w:r>
        <w:rPr>
          <w:rFonts w:hint="eastAsia" w:ascii="宋体" w:hAnsi="宋体" w:cs="宋体"/>
          <w:sz w:val="24"/>
          <w:lang w:eastAsia="zh-CN"/>
        </w:rPr>
        <w:t>评比小组</w:t>
      </w:r>
      <w:r>
        <w:rPr>
          <w:rFonts w:ascii="宋体" w:hAnsi="宋体" w:cs="宋体"/>
          <w:sz w:val="24"/>
        </w:rPr>
        <w:t>应当停止评审：</w:t>
      </w:r>
    </w:p>
    <w:p>
      <w:pPr>
        <w:pStyle w:val="24"/>
        <w:ind w:firstLine="480"/>
        <w:rPr>
          <w:rFonts w:ascii="宋体" w:hAnsi="宋体" w:cs="宋体"/>
          <w:sz w:val="24"/>
        </w:rPr>
      </w:pPr>
      <w:r>
        <w:rPr>
          <w:rFonts w:ascii="宋体" w:hAnsi="宋体" w:cs="宋体"/>
          <w:sz w:val="24"/>
        </w:rPr>
        <w:t>（1）询价通知书的规定存在歧义、重大缺陷的；</w:t>
      </w:r>
    </w:p>
    <w:p>
      <w:pPr>
        <w:pStyle w:val="24"/>
        <w:ind w:firstLine="480"/>
        <w:rPr>
          <w:rFonts w:ascii="宋体" w:hAnsi="宋体" w:cs="宋体"/>
          <w:sz w:val="24"/>
        </w:rPr>
      </w:pPr>
      <w:r>
        <w:rPr>
          <w:rFonts w:ascii="宋体" w:hAnsi="宋体" w:cs="宋体"/>
          <w:sz w:val="24"/>
        </w:rPr>
        <w:t>（2）询价通知书明显以不合理条件对供应商实行差别待遇或者歧视待遇的；</w:t>
      </w:r>
    </w:p>
    <w:p>
      <w:pPr>
        <w:pStyle w:val="24"/>
        <w:ind w:firstLine="480"/>
        <w:rPr>
          <w:rFonts w:ascii="宋体" w:hAnsi="宋体" w:cs="宋体"/>
          <w:sz w:val="24"/>
        </w:rPr>
      </w:pPr>
      <w:r>
        <w:rPr>
          <w:rFonts w:ascii="宋体" w:hAnsi="宋体" w:cs="宋体"/>
          <w:sz w:val="24"/>
        </w:rPr>
        <w:t>（3）采购项目属于国家规定的优先、强制采购范围，但是询价通知书未依法体现优先、强制采购相关规定的；</w:t>
      </w:r>
    </w:p>
    <w:p>
      <w:pPr>
        <w:pStyle w:val="24"/>
        <w:ind w:firstLine="480"/>
        <w:rPr>
          <w:rFonts w:ascii="宋体" w:hAnsi="宋体" w:cs="宋体"/>
          <w:sz w:val="24"/>
        </w:rPr>
      </w:pPr>
      <w:r>
        <w:rPr>
          <w:rFonts w:ascii="宋体" w:hAnsi="宋体" w:cs="宋体"/>
          <w:sz w:val="24"/>
        </w:rPr>
        <w:t>（4）采购项目属于政府采购促进中小企业发展的范围，但是询价通知书未依法体现促进中小企业发展相关规定的；</w:t>
      </w:r>
    </w:p>
    <w:p>
      <w:pPr>
        <w:pStyle w:val="24"/>
        <w:ind w:firstLine="480"/>
        <w:rPr>
          <w:rFonts w:ascii="宋体" w:hAnsi="宋体" w:cs="宋体"/>
          <w:sz w:val="24"/>
        </w:rPr>
        <w:sectPr>
          <w:footerReference r:id="rId7" w:type="default"/>
          <w:pgSz w:w="11850" w:h="16790"/>
          <w:pgMar w:top="1360" w:right="1640" w:bottom="1340" w:left="1660" w:header="0" w:footer="1144" w:gutter="0"/>
          <w:cols w:space="720" w:num="1"/>
        </w:sectPr>
      </w:pPr>
    </w:p>
    <w:p>
      <w:pPr>
        <w:pStyle w:val="24"/>
        <w:ind w:firstLine="480"/>
        <w:rPr>
          <w:rFonts w:ascii="宋体" w:hAnsi="宋体" w:cs="宋体"/>
          <w:sz w:val="24"/>
        </w:rPr>
      </w:pPr>
      <w:r>
        <w:rPr>
          <w:rFonts w:ascii="宋体" w:hAnsi="宋体" w:cs="宋体"/>
          <w:sz w:val="24"/>
        </w:rPr>
        <w:t>（5）询价通知书将供应商的资格条件列为评分因素的；</w:t>
      </w:r>
    </w:p>
    <w:p>
      <w:pPr>
        <w:pStyle w:val="24"/>
        <w:ind w:firstLine="480"/>
        <w:rPr>
          <w:rFonts w:ascii="宋体" w:hAnsi="宋体" w:cs="宋体"/>
          <w:sz w:val="24"/>
        </w:rPr>
      </w:pPr>
      <w:r>
        <w:rPr>
          <w:rFonts w:ascii="宋体" w:hAnsi="宋体" w:cs="宋体"/>
          <w:sz w:val="24"/>
        </w:rPr>
        <w:t>（6）询价通知书载明的成交原则不合法的；</w:t>
      </w:r>
    </w:p>
    <w:p>
      <w:pPr>
        <w:pStyle w:val="24"/>
        <w:ind w:firstLine="480"/>
        <w:rPr>
          <w:rFonts w:ascii="宋体" w:hAnsi="宋体" w:cs="宋体"/>
          <w:sz w:val="24"/>
        </w:rPr>
      </w:pPr>
      <w:r>
        <w:rPr>
          <w:rFonts w:ascii="宋体" w:hAnsi="宋体" w:cs="宋体"/>
          <w:sz w:val="24"/>
        </w:rPr>
        <w:t>（7）询价通知书有违反国家其他有关强制性规定的情形。</w:t>
      </w:r>
    </w:p>
    <w:p>
      <w:pPr>
        <w:pStyle w:val="24"/>
        <w:ind w:firstLine="480"/>
        <w:rPr>
          <w:rFonts w:ascii="宋体" w:hAnsi="宋体" w:cs="宋体"/>
          <w:sz w:val="24"/>
        </w:rPr>
      </w:pPr>
      <w:r>
        <w:rPr>
          <w:rFonts w:ascii="宋体" w:hAnsi="宋体" w:cs="宋体"/>
          <w:sz w:val="24"/>
        </w:rPr>
        <w:t>出现本条 2 规定应当停止评审情形的，</w:t>
      </w:r>
      <w:r>
        <w:rPr>
          <w:rFonts w:hint="eastAsia" w:ascii="宋体" w:hAnsi="宋体" w:cs="宋体"/>
          <w:sz w:val="24"/>
          <w:lang w:eastAsia="zh-CN"/>
        </w:rPr>
        <w:t>评比小组</w:t>
      </w:r>
      <w:r>
        <w:rPr>
          <w:rFonts w:ascii="宋体" w:hAnsi="宋体" w:cs="宋体"/>
          <w:sz w:val="24"/>
        </w:rPr>
        <w:t>应当向采购人书面说明情况。除本条规定的情形外，</w:t>
      </w:r>
      <w:r>
        <w:rPr>
          <w:rFonts w:hint="eastAsia" w:ascii="宋体" w:hAnsi="宋体" w:cs="宋体"/>
          <w:sz w:val="24"/>
          <w:lang w:eastAsia="zh-CN"/>
        </w:rPr>
        <w:t>评比小组</w:t>
      </w:r>
      <w:r>
        <w:rPr>
          <w:rFonts w:ascii="宋体" w:hAnsi="宋体" w:cs="宋体"/>
          <w:sz w:val="24"/>
        </w:rPr>
        <w:t>不得以任何方式和理由停止评审。</w:t>
      </w:r>
    </w:p>
    <w:p>
      <w:pPr>
        <w:pStyle w:val="24"/>
        <w:ind w:firstLine="480"/>
        <w:rPr>
          <w:rFonts w:ascii="宋体" w:hAnsi="宋体" w:cs="宋体"/>
          <w:sz w:val="24"/>
        </w:rPr>
      </w:pPr>
      <w:r>
        <w:rPr>
          <w:rFonts w:hint="eastAsia" w:ascii="宋体" w:hAnsi="宋体" w:cs="宋体"/>
          <w:sz w:val="24"/>
          <w:lang w:val="en-US" w:eastAsia="zh-CN"/>
        </w:rPr>
        <w:t>3、</w:t>
      </w:r>
      <w:r>
        <w:rPr>
          <w:rFonts w:ascii="宋体" w:hAnsi="宋体" w:cs="宋体"/>
          <w:sz w:val="24"/>
        </w:rPr>
        <w:t>资格审查</w:t>
      </w:r>
    </w:p>
    <w:p>
      <w:pPr>
        <w:pStyle w:val="24"/>
        <w:ind w:firstLine="480"/>
        <w:rPr>
          <w:rFonts w:ascii="宋体" w:hAnsi="宋体" w:cs="宋体"/>
          <w:sz w:val="24"/>
        </w:rPr>
      </w:pPr>
      <w:r>
        <w:rPr>
          <w:rFonts w:ascii="宋体" w:hAnsi="宋体" w:cs="宋体"/>
          <w:sz w:val="24"/>
        </w:rPr>
        <w:t>本项目需要</w:t>
      </w:r>
      <w:r>
        <w:rPr>
          <w:rFonts w:hint="eastAsia" w:ascii="宋体" w:hAnsi="宋体" w:cs="宋体"/>
          <w:sz w:val="24"/>
          <w:lang w:eastAsia="zh-CN"/>
        </w:rPr>
        <w:t>评比小组</w:t>
      </w:r>
      <w:r>
        <w:rPr>
          <w:rFonts w:ascii="宋体" w:hAnsi="宋体" w:cs="宋体"/>
          <w:sz w:val="24"/>
        </w:rPr>
        <w:t>进行资格性检查。</w:t>
      </w:r>
    </w:p>
    <w:p>
      <w:pPr>
        <w:pStyle w:val="24"/>
        <w:ind w:firstLine="480"/>
        <w:rPr>
          <w:rFonts w:ascii="宋体" w:hAnsi="宋体" w:cs="宋体"/>
          <w:sz w:val="24"/>
        </w:rPr>
      </w:pPr>
      <w:r>
        <w:rPr>
          <w:rFonts w:hint="eastAsia" w:ascii="宋体" w:hAnsi="宋体" w:cs="宋体"/>
          <w:sz w:val="24"/>
          <w:lang w:eastAsia="zh-CN"/>
        </w:rPr>
        <w:t>评比小组</w:t>
      </w:r>
      <w:r>
        <w:rPr>
          <w:rFonts w:ascii="宋体" w:hAnsi="宋体" w:cs="宋体"/>
          <w:sz w:val="24"/>
        </w:rPr>
        <w:t>依据法律法规和询价通知书的规定，应依据法律法规和采购文件的规定，对响应文件是否按照规定要求提供资格性证明材料、是否属于禁止参加询价的供应商等进行审查，以确定供应商是否具备询价资格。</w:t>
      </w:r>
    </w:p>
    <w:p>
      <w:pPr>
        <w:pStyle w:val="24"/>
        <w:ind w:firstLine="480"/>
        <w:rPr>
          <w:rFonts w:ascii="宋体" w:hAnsi="宋体" w:cs="宋体"/>
          <w:sz w:val="24"/>
        </w:rPr>
      </w:pPr>
      <w:r>
        <w:rPr>
          <w:rFonts w:hint="eastAsia" w:ascii="宋体" w:hAnsi="宋体" w:cs="宋体"/>
          <w:sz w:val="24"/>
          <w:lang w:eastAsia="zh-CN"/>
        </w:rPr>
        <w:t>评比小组</w:t>
      </w:r>
      <w:r>
        <w:rPr>
          <w:rFonts w:ascii="宋体" w:hAnsi="宋体" w:cs="宋体"/>
          <w:sz w:val="24"/>
        </w:rPr>
        <w:t>资格审查结束后，应当出具资格审查报告，并按照询价通知书的规定确定参加询价的供应商名单。没有通过资格审查的供应商，</w:t>
      </w:r>
      <w:r>
        <w:rPr>
          <w:rFonts w:hint="eastAsia" w:ascii="宋体" w:hAnsi="宋体" w:cs="宋体"/>
          <w:sz w:val="24"/>
          <w:lang w:eastAsia="zh-CN"/>
        </w:rPr>
        <w:t>评比小组</w:t>
      </w:r>
      <w:r>
        <w:rPr>
          <w:rFonts w:ascii="宋体" w:hAnsi="宋体" w:cs="宋体"/>
          <w:sz w:val="24"/>
        </w:rPr>
        <w:t>应当在资格审查报告中说明原因。</w:t>
      </w:r>
    </w:p>
    <w:p>
      <w:pPr>
        <w:pStyle w:val="24"/>
        <w:rPr>
          <w:rFonts w:ascii="宋体" w:hAnsi="宋体" w:cs="宋体"/>
          <w:sz w:val="24"/>
        </w:rPr>
      </w:pPr>
      <w:r>
        <w:rPr>
          <w:rFonts w:hint="eastAsia" w:ascii="宋体" w:hAnsi="宋体" w:cs="宋体"/>
          <w:sz w:val="24"/>
          <w:lang w:val="en-US" w:eastAsia="zh-CN"/>
        </w:rPr>
        <w:t>4、</w:t>
      </w:r>
      <w:r>
        <w:rPr>
          <w:rFonts w:hint="eastAsia" w:ascii="宋体" w:hAnsi="宋体" w:cs="宋体"/>
          <w:sz w:val="24"/>
          <w:lang w:eastAsia="zh-CN"/>
        </w:rPr>
        <w:t>评审</w:t>
      </w:r>
    </w:p>
    <w:p>
      <w:pPr>
        <w:pStyle w:val="24"/>
        <w:ind w:firstLine="480"/>
        <w:rPr>
          <w:rFonts w:ascii="宋体" w:hAnsi="宋体" w:cs="宋体"/>
          <w:sz w:val="24"/>
        </w:rPr>
      </w:pPr>
      <w:r>
        <w:rPr>
          <w:rFonts w:ascii="宋体" w:hAnsi="宋体" w:cs="宋体"/>
          <w:sz w:val="24"/>
        </w:rPr>
        <w:t>供应商资格审查结束后，</w:t>
      </w:r>
      <w:r>
        <w:rPr>
          <w:rFonts w:hint="eastAsia" w:ascii="宋体" w:hAnsi="宋体" w:cs="宋体"/>
          <w:sz w:val="24"/>
          <w:lang w:eastAsia="zh-CN"/>
        </w:rPr>
        <w:t>评比小组</w:t>
      </w:r>
      <w:r>
        <w:rPr>
          <w:rFonts w:ascii="宋体" w:hAnsi="宋体" w:cs="宋体"/>
          <w:sz w:val="24"/>
        </w:rPr>
        <w:t>按照询价通知书的规定对供应商的响应文件进行书面审查。供应商响应文件未实质性响应询价通知书的，</w:t>
      </w:r>
      <w:r>
        <w:rPr>
          <w:rFonts w:hint="eastAsia" w:ascii="宋体" w:hAnsi="宋体" w:cs="宋体"/>
          <w:sz w:val="24"/>
          <w:lang w:eastAsia="zh-CN"/>
        </w:rPr>
        <w:t>评比小组</w:t>
      </w:r>
      <w:r>
        <w:rPr>
          <w:rFonts w:ascii="宋体" w:hAnsi="宋体" w:cs="宋体"/>
          <w:sz w:val="24"/>
        </w:rPr>
        <w:t>应当对其响应文件按无效处理，并书面告知供应商，说明理由。</w:t>
      </w:r>
    </w:p>
    <w:p>
      <w:pPr>
        <w:pStyle w:val="24"/>
        <w:ind w:firstLine="480"/>
        <w:rPr>
          <w:rFonts w:ascii="宋体" w:hAnsi="宋体" w:cs="宋体"/>
          <w:sz w:val="24"/>
        </w:rPr>
      </w:pPr>
      <w:r>
        <w:rPr>
          <w:rFonts w:hint="eastAsia" w:ascii="宋体" w:hAnsi="宋体" w:cs="宋体"/>
          <w:sz w:val="24"/>
          <w:lang w:val="en-US" w:eastAsia="zh-CN"/>
        </w:rPr>
        <w:t>5、</w:t>
      </w:r>
      <w:r>
        <w:rPr>
          <w:rFonts w:ascii="宋体" w:hAnsi="宋体" w:cs="宋体"/>
          <w:sz w:val="24"/>
        </w:rPr>
        <w:t>一次性报价</w:t>
      </w:r>
    </w:p>
    <w:p>
      <w:pPr>
        <w:pStyle w:val="24"/>
        <w:ind w:firstLine="480"/>
        <w:rPr>
          <w:rFonts w:ascii="宋体" w:hAnsi="宋体" w:cs="宋体"/>
          <w:sz w:val="24"/>
        </w:rPr>
      </w:pPr>
      <w:r>
        <w:rPr>
          <w:rFonts w:hint="eastAsia" w:ascii="宋体" w:hAnsi="宋体" w:cs="宋体"/>
          <w:sz w:val="24"/>
          <w:lang w:eastAsia="zh-CN"/>
        </w:rPr>
        <w:t>评比小组</w:t>
      </w:r>
      <w:r>
        <w:rPr>
          <w:rFonts w:ascii="宋体" w:hAnsi="宋体" w:cs="宋体"/>
          <w:sz w:val="24"/>
        </w:rPr>
        <w:t>对供应商响应文件审查结束后，应当要求所有实质性响应的供应商在规定时间内按照询价通知书的规定一次报出不得更改的价格。</w:t>
      </w:r>
    </w:p>
    <w:p>
      <w:pPr>
        <w:pStyle w:val="24"/>
        <w:ind w:firstLine="480"/>
        <w:rPr>
          <w:rFonts w:ascii="宋体" w:hAnsi="宋体" w:cs="宋体"/>
          <w:sz w:val="24"/>
        </w:rPr>
      </w:pPr>
      <w:r>
        <w:rPr>
          <w:rFonts w:ascii="宋体" w:hAnsi="宋体" w:cs="宋体"/>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4"/>
        <w:ind w:firstLine="480"/>
        <w:rPr>
          <w:rFonts w:ascii="宋体" w:hAnsi="宋体" w:cs="宋体"/>
          <w:sz w:val="24"/>
        </w:rPr>
      </w:pPr>
      <w:r>
        <w:rPr>
          <w:rFonts w:hint="eastAsia" w:ascii="宋体" w:hAnsi="宋体" w:cs="宋体"/>
          <w:sz w:val="24"/>
          <w:lang w:val="en-US" w:eastAsia="zh-CN"/>
        </w:rPr>
        <w:t>6、</w:t>
      </w:r>
      <w:r>
        <w:rPr>
          <w:rFonts w:ascii="宋体" w:hAnsi="宋体" w:cs="宋体"/>
          <w:sz w:val="24"/>
        </w:rPr>
        <w:t>复核</w:t>
      </w:r>
    </w:p>
    <w:p>
      <w:pPr>
        <w:pStyle w:val="24"/>
        <w:ind w:firstLine="480"/>
        <w:rPr>
          <w:rFonts w:ascii="宋体" w:hAnsi="宋体" w:cs="宋体"/>
          <w:sz w:val="24"/>
        </w:rPr>
      </w:pPr>
      <w:r>
        <w:rPr>
          <w:rFonts w:ascii="宋体" w:hAnsi="宋体" w:cs="宋体"/>
          <w:sz w:val="24"/>
        </w:rPr>
        <w:t>供应商报价结束后，</w:t>
      </w:r>
      <w:r>
        <w:rPr>
          <w:rFonts w:hint="eastAsia" w:ascii="宋体" w:hAnsi="宋体" w:cs="宋体"/>
          <w:sz w:val="24"/>
          <w:lang w:eastAsia="zh-CN"/>
        </w:rPr>
        <w:t>评比小组</w:t>
      </w:r>
      <w:r>
        <w:rPr>
          <w:rFonts w:ascii="宋体" w:hAnsi="宋体" w:cs="宋体"/>
          <w:sz w:val="24"/>
        </w:rPr>
        <w:t>应当进行评审复核，对拟推荐为成交候选供应商的、报价最低的、供应商资格审查未通过的、供应商被无效处理的重点复核。</w:t>
      </w:r>
    </w:p>
    <w:p>
      <w:pPr>
        <w:pStyle w:val="24"/>
        <w:ind w:firstLine="480"/>
        <w:rPr>
          <w:rFonts w:ascii="宋体" w:hAnsi="宋体" w:cs="宋体"/>
          <w:sz w:val="24"/>
        </w:rPr>
      </w:pPr>
      <w:r>
        <w:rPr>
          <w:rFonts w:hint="eastAsia" w:ascii="宋体" w:hAnsi="宋体" w:cs="宋体"/>
          <w:sz w:val="24"/>
          <w:lang w:val="en-US" w:eastAsia="zh-CN"/>
        </w:rPr>
        <w:t>7、</w:t>
      </w:r>
      <w:r>
        <w:rPr>
          <w:rFonts w:ascii="宋体" w:hAnsi="宋体" w:cs="宋体"/>
          <w:sz w:val="24"/>
        </w:rPr>
        <w:t>推荐成交候选供应商</w:t>
      </w:r>
    </w:p>
    <w:p>
      <w:pPr>
        <w:pStyle w:val="24"/>
        <w:ind w:firstLine="480"/>
        <w:rPr>
          <w:rFonts w:ascii="宋体" w:hAnsi="宋体" w:cs="宋体"/>
          <w:sz w:val="24"/>
        </w:rPr>
      </w:pPr>
      <w:r>
        <w:rPr>
          <w:rFonts w:ascii="宋体" w:hAnsi="宋体" w:cs="宋体"/>
          <w:sz w:val="24"/>
        </w:rPr>
        <w:t>成交候选供应商应当排序。</w:t>
      </w:r>
      <w:r>
        <w:rPr>
          <w:rFonts w:hint="eastAsia" w:ascii="宋体" w:hAnsi="宋体" w:cs="宋体"/>
          <w:sz w:val="24"/>
          <w:lang w:eastAsia="zh-CN"/>
        </w:rPr>
        <w:t>评比小组</w:t>
      </w:r>
      <w:r>
        <w:rPr>
          <w:rFonts w:ascii="宋体" w:hAnsi="宋体" w:cs="宋体"/>
          <w:sz w:val="24"/>
        </w:rPr>
        <w:t>复核结束后，应当按照供应商的报价由低到高排序，推荐成交候选供应商。供应商报价相同的，成交候选供应商并列。</w:t>
      </w:r>
    </w:p>
    <w:p>
      <w:pPr>
        <w:pStyle w:val="24"/>
        <w:ind w:firstLine="480"/>
        <w:rPr>
          <w:rFonts w:ascii="宋体" w:hAnsi="宋体" w:cs="宋体"/>
          <w:sz w:val="24"/>
        </w:rPr>
      </w:pPr>
      <w:r>
        <w:rPr>
          <w:rFonts w:hint="eastAsia" w:ascii="宋体" w:hAnsi="宋体" w:cs="宋体"/>
          <w:sz w:val="24"/>
          <w:lang w:val="en-US" w:eastAsia="zh-CN"/>
        </w:rPr>
        <w:t>8、</w:t>
      </w:r>
      <w:r>
        <w:rPr>
          <w:rFonts w:ascii="宋体" w:hAnsi="宋体" w:cs="宋体"/>
          <w:sz w:val="24"/>
        </w:rPr>
        <w:t>现场复核</w:t>
      </w:r>
    </w:p>
    <w:p>
      <w:pPr>
        <w:pStyle w:val="24"/>
        <w:ind w:firstLine="480"/>
        <w:rPr>
          <w:rFonts w:ascii="宋体" w:hAnsi="宋体" w:cs="宋体"/>
          <w:sz w:val="24"/>
        </w:rPr>
      </w:pPr>
      <w:r>
        <w:rPr>
          <w:rFonts w:ascii="宋体" w:hAnsi="宋体" w:cs="宋体"/>
          <w:sz w:val="24"/>
        </w:rPr>
        <w:t>推荐成交候选供应商后，</w:t>
      </w:r>
      <w:r>
        <w:rPr>
          <w:rFonts w:hint="eastAsia" w:ascii="宋体" w:hAnsi="宋体" w:cs="宋体"/>
          <w:sz w:val="24"/>
          <w:lang w:eastAsia="zh-CN"/>
        </w:rPr>
        <w:t>评比小组</w:t>
      </w:r>
      <w:r>
        <w:rPr>
          <w:rFonts w:ascii="宋体" w:hAnsi="宋体" w:cs="宋体"/>
          <w:sz w:val="24"/>
        </w:rPr>
        <w:t>拟出具询价报告前，采购人/采购代理机构应当组织 2 名以上的本单位工作人员，在采购现场监督人员的监督之下，依据有关的法律制度和询价通知书对评审结果进行复核，出具复核报告，存在资格性审查认定错误的，采购人/采购代理机构应当根据情况书面建议</w:t>
      </w:r>
      <w:r>
        <w:rPr>
          <w:rFonts w:hint="eastAsia" w:ascii="宋体" w:hAnsi="宋体" w:cs="宋体"/>
          <w:sz w:val="24"/>
          <w:lang w:eastAsia="zh-CN"/>
        </w:rPr>
        <w:t>评比小组</w:t>
      </w:r>
      <w:r>
        <w:rPr>
          <w:rFonts w:ascii="宋体" w:hAnsi="宋体" w:cs="宋体"/>
          <w:sz w:val="24"/>
        </w:rPr>
        <w:t>现场修改评审结果。由</w:t>
      </w:r>
      <w:r>
        <w:rPr>
          <w:rFonts w:hint="eastAsia" w:ascii="宋体" w:hAnsi="宋体" w:cs="宋体"/>
          <w:sz w:val="24"/>
          <w:lang w:eastAsia="zh-CN"/>
        </w:rPr>
        <w:t>评比小组</w:t>
      </w:r>
      <w:r>
        <w:rPr>
          <w:rFonts w:ascii="宋体" w:hAnsi="宋体" w:cs="宋体"/>
          <w:sz w:val="24"/>
        </w:rPr>
        <w:t>自主决定是否采纳采购人/采购代理机构的书面建议，并承担独立评审责任。</w:t>
      </w:r>
      <w:r>
        <w:rPr>
          <w:rFonts w:hint="eastAsia" w:ascii="宋体" w:hAnsi="宋体" w:cs="宋体"/>
          <w:sz w:val="24"/>
          <w:lang w:eastAsia="zh-CN"/>
        </w:rPr>
        <w:t>评比小组</w:t>
      </w:r>
      <w:r>
        <w:rPr>
          <w:rFonts w:ascii="宋体" w:hAnsi="宋体" w:cs="宋体"/>
          <w:sz w:val="24"/>
        </w:rPr>
        <w:t>采纳采购人/采购代理机构书面建议的，应当按照规定现场修改评审结果或者重新评审，并在询价报告中详细记载有关事宜；不采纳采购人/采购代理机构书面建议的，应当书面说明理由。采购人/采购代理机构书面建议未被</w:t>
      </w:r>
      <w:r>
        <w:rPr>
          <w:rFonts w:hint="eastAsia" w:ascii="宋体" w:hAnsi="宋体" w:cs="宋体"/>
          <w:sz w:val="24"/>
          <w:lang w:eastAsia="zh-CN"/>
        </w:rPr>
        <w:t>评比小组</w:t>
      </w:r>
      <w:r>
        <w:rPr>
          <w:rFonts w:ascii="宋体" w:hAnsi="宋体" w:cs="宋体"/>
          <w:sz w:val="24"/>
        </w:rPr>
        <w:t>采纳的，应当接照规定程序要求继续组织实施采购活动，不得擅自中止采购活动。采购人/采购代理机构认为</w:t>
      </w:r>
      <w:r>
        <w:rPr>
          <w:rFonts w:hint="eastAsia" w:ascii="宋体" w:hAnsi="宋体" w:cs="宋体"/>
          <w:sz w:val="24"/>
          <w:lang w:eastAsia="zh-CN"/>
        </w:rPr>
        <w:t>评比小组</w:t>
      </w:r>
      <w:r>
        <w:rPr>
          <w:rFonts w:ascii="宋体" w:hAnsi="宋体" w:cs="宋体"/>
          <w:sz w:val="24"/>
        </w:rPr>
        <w:t>评审结果不合法的，应当书面报告采购项目同级财政部门。</w:t>
      </w:r>
    </w:p>
    <w:p>
      <w:pPr>
        <w:pStyle w:val="24"/>
        <w:ind w:firstLine="480"/>
        <w:rPr>
          <w:rFonts w:ascii="宋体" w:hAnsi="宋体" w:cs="宋体"/>
          <w:sz w:val="24"/>
        </w:rPr>
      </w:pPr>
      <w:r>
        <w:rPr>
          <w:rFonts w:ascii="宋体" w:hAnsi="宋体" w:cs="宋体"/>
          <w:sz w:val="24"/>
        </w:rPr>
        <w:t>采购人/采购代理机构复核过程中，</w:t>
      </w:r>
      <w:r>
        <w:rPr>
          <w:rFonts w:hint="eastAsia" w:ascii="宋体" w:hAnsi="宋体" w:cs="宋体"/>
          <w:sz w:val="24"/>
          <w:lang w:eastAsia="zh-CN"/>
        </w:rPr>
        <w:t>评比小组</w:t>
      </w:r>
      <w:r>
        <w:rPr>
          <w:rFonts w:ascii="宋体" w:hAnsi="宋体" w:cs="宋体"/>
          <w:sz w:val="24"/>
        </w:rPr>
        <w:t>成员不得离开评审现场。</w:t>
      </w:r>
    </w:p>
    <w:p>
      <w:pPr>
        <w:pStyle w:val="24"/>
        <w:ind w:firstLine="480"/>
        <w:rPr>
          <w:rFonts w:ascii="宋体" w:hAnsi="宋体" w:cs="宋体"/>
          <w:sz w:val="24"/>
        </w:rPr>
      </w:pPr>
      <w:r>
        <w:rPr>
          <w:rFonts w:ascii="宋体" w:hAnsi="宋体" w:cs="宋体"/>
          <w:sz w:val="24"/>
        </w:rPr>
        <w:t>有下列情形之一的，不得现场修改评审结果：</w:t>
      </w:r>
    </w:p>
    <w:p>
      <w:pPr>
        <w:pStyle w:val="24"/>
        <w:ind w:firstLine="480"/>
        <w:rPr>
          <w:rFonts w:ascii="宋体" w:hAnsi="宋体" w:cs="宋体"/>
          <w:sz w:val="24"/>
        </w:rPr>
      </w:pPr>
      <w:r>
        <w:rPr>
          <w:rFonts w:ascii="宋体" w:hAnsi="宋体" w:cs="宋体"/>
          <w:sz w:val="24"/>
        </w:rPr>
        <w:t>（1）</w:t>
      </w:r>
      <w:r>
        <w:rPr>
          <w:rFonts w:hint="eastAsia" w:ascii="宋体" w:hAnsi="宋体" w:cs="宋体"/>
          <w:sz w:val="24"/>
          <w:lang w:eastAsia="zh-CN"/>
        </w:rPr>
        <w:t>评比小组</w:t>
      </w:r>
      <w:r>
        <w:rPr>
          <w:rFonts w:ascii="宋体" w:hAnsi="宋体" w:cs="宋体"/>
          <w:sz w:val="24"/>
        </w:rPr>
        <w:t>已经出具询价报告并且离开评审现场的；</w:t>
      </w:r>
    </w:p>
    <w:p>
      <w:pPr>
        <w:pStyle w:val="24"/>
        <w:ind w:firstLine="480"/>
        <w:rPr>
          <w:rFonts w:ascii="宋体" w:hAnsi="宋体" w:cs="宋体"/>
          <w:sz w:val="24"/>
        </w:rPr>
      </w:pPr>
      <w:r>
        <w:rPr>
          <w:rFonts w:ascii="宋体" w:hAnsi="宋体" w:cs="宋体"/>
          <w:sz w:val="24"/>
        </w:rPr>
        <w:t>（2）采购人/采购代理机构现场复核时，复核工作人员数量不足的；</w:t>
      </w:r>
    </w:p>
    <w:p>
      <w:pPr>
        <w:pStyle w:val="24"/>
        <w:ind w:firstLine="480"/>
        <w:rPr>
          <w:rFonts w:ascii="宋体" w:hAnsi="宋体" w:cs="宋体"/>
          <w:sz w:val="24"/>
        </w:rPr>
      </w:pPr>
      <w:r>
        <w:rPr>
          <w:rFonts w:ascii="宋体" w:hAnsi="宋体" w:cs="宋体"/>
          <w:sz w:val="24"/>
        </w:rPr>
        <w:t>（3）采购人/采购代理机构现场复核时，没有采购监督人员现场监督的；</w:t>
      </w:r>
    </w:p>
    <w:p>
      <w:pPr>
        <w:pStyle w:val="24"/>
        <w:ind w:firstLine="480"/>
        <w:rPr>
          <w:rFonts w:ascii="宋体" w:hAnsi="宋体" w:cs="宋体"/>
          <w:sz w:val="24"/>
        </w:rPr>
      </w:pPr>
      <w:r>
        <w:rPr>
          <w:rFonts w:ascii="宋体" w:hAnsi="宋体" w:cs="宋体"/>
          <w:sz w:val="24"/>
        </w:rPr>
        <w:t>（4）采购人/采购代理机构现场复核内容超出规定范围的；</w:t>
      </w:r>
    </w:p>
    <w:p>
      <w:pPr>
        <w:pStyle w:val="24"/>
        <w:ind w:firstLine="480"/>
        <w:rPr>
          <w:rFonts w:ascii="宋体" w:hAnsi="宋体" w:cs="宋体"/>
          <w:sz w:val="24"/>
        </w:rPr>
      </w:pPr>
      <w:r>
        <w:rPr>
          <w:rFonts w:ascii="宋体" w:hAnsi="宋体" w:cs="宋体"/>
          <w:sz w:val="24"/>
        </w:rPr>
        <w:t>（5）采购人/采购代理机构未提供书面建议的。</w:t>
      </w:r>
    </w:p>
    <w:p>
      <w:pPr>
        <w:pStyle w:val="24"/>
        <w:ind w:firstLine="480"/>
        <w:rPr>
          <w:rFonts w:ascii="宋体" w:hAnsi="宋体" w:cs="宋体"/>
          <w:sz w:val="24"/>
        </w:rPr>
      </w:pPr>
      <w:r>
        <w:rPr>
          <w:rFonts w:hint="eastAsia" w:ascii="宋体" w:hAnsi="宋体" w:cs="宋体"/>
          <w:sz w:val="24"/>
          <w:lang w:val="en-US" w:eastAsia="zh-CN"/>
        </w:rPr>
        <w:t>9、</w:t>
      </w:r>
      <w:r>
        <w:rPr>
          <w:rFonts w:ascii="宋体" w:hAnsi="宋体" w:cs="宋体"/>
          <w:sz w:val="24"/>
        </w:rPr>
        <w:t>出具询价报告</w:t>
      </w:r>
    </w:p>
    <w:p>
      <w:pPr>
        <w:pStyle w:val="24"/>
        <w:ind w:firstLine="480"/>
        <w:rPr>
          <w:rFonts w:ascii="宋体" w:hAnsi="宋体" w:cs="宋体"/>
          <w:sz w:val="24"/>
        </w:rPr>
      </w:pPr>
      <w:r>
        <w:rPr>
          <w:rFonts w:ascii="宋体" w:hAnsi="宋体" w:cs="宋体"/>
          <w:sz w:val="24"/>
        </w:rPr>
        <w:t>询价报告应当包括下列内容：</w:t>
      </w:r>
    </w:p>
    <w:p>
      <w:pPr>
        <w:pStyle w:val="24"/>
        <w:ind w:firstLine="480"/>
        <w:rPr>
          <w:rFonts w:ascii="宋体" w:hAnsi="宋体" w:cs="宋体"/>
          <w:sz w:val="24"/>
        </w:rPr>
      </w:pPr>
      <w:r>
        <w:rPr>
          <w:rFonts w:ascii="宋体" w:hAnsi="宋体" w:cs="宋体"/>
          <w:sz w:val="24"/>
        </w:rPr>
        <w:t>（</w:t>
      </w:r>
      <w:r>
        <w:rPr>
          <w:rFonts w:hint="eastAsia" w:ascii="宋体" w:hAnsi="宋体" w:cs="宋体"/>
          <w:sz w:val="24"/>
          <w:lang w:val="en-US" w:eastAsia="zh-CN"/>
        </w:rPr>
        <w:t>1</w:t>
      </w:r>
      <w:r>
        <w:rPr>
          <w:rFonts w:ascii="宋体" w:hAnsi="宋体" w:cs="宋体"/>
          <w:sz w:val="24"/>
        </w:rPr>
        <w:t>）邀请供应商参加采购活动的具体方式和相关情况，以及参加采购活动的供应商名单；</w:t>
      </w:r>
    </w:p>
    <w:p>
      <w:pPr>
        <w:pStyle w:val="24"/>
        <w:ind w:firstLine="480"/>
        <w:rPr>
          <w:rFonts w:ascii="宋体" w:hAnsi="宋体" w:cs="宋体"/>
          <w:sz w:val="24"/>
        </w:rPr>
      </w:pPr>
      <w:r>
        <w:rPr>
          <w:rFonts w:ascii="宋体" w:hAnsi="宋体" w:cs="宋体"/>
          <w:sz w:val="24"/>
        </w:rPr>
        <w:t>（</w:t>
      </w:r>
      <w:r>
        <w:rPr>
          <w:rFonts w:hint="eastAsia" w:ascii="宋体" w:hAnsi="宋体" w:cs="宋体"/>
          <w:sz w:val="24"/>
          <w:lang w:val="en-US" w:eastAsia="zh-CN"/>
        </w:rPr>
        <w:t>2</w:t>
      </w:r>
      <w:r>
        <w:rPr>
          <w:rFonts w:ascii="宋体" w:hAnsi="宋体" w:cs="宋体"/>
          <w:sz w:val="24"/>
        </w:rPr>
        <w:t>）评审日期和地点，</w:t>
      </w:r>
      <w:r>
        <w:rPr>
          <w:rFonts w:hint="eastAsia" w:ascii="宋体" w:hAnsi="宋体" w:cs="宋体"/>
          <w:sz w:val="24"/>
          <w:lang w:eastAsia="zh-CN"/>
        </w:rPr>
        <w:t>评比小组</w:t>
      </w:r>
      <w:r>
        <w:rPr>
          <w:rFonts w:ascii="宋体" w:hAnsi="宋体" w:cs="宋体"/>
          <w:sz w:val="24"/>
        </w:rPr>
        <w:t>成员名单；</w:t>
      </w:r>
    </w:p>
    <w:p>
      <w:pPr>
        <w:pStyle w:val="24"/>
        <w:ind w:firstLine="480"/>
        <w:rPr>
          <w:rFonts w:ascii="宋体" w:hAnsi="宋体" w:cs="宋体"/>
          <w:sz w:val="24"/>
        </w:rPr>
      </w:pPr>
      <w:r>
        <w:rPr>
          <w:rFonts w:ascii="宋体" w:hAnsi="宋体" w:cs="宋体"/>
          <w:sz w:val="24"/>
        </w:rPr>
        <w:t>（</w:t>
      </w:r>
      <w:r>
        <w:rPr>
          <w:rFonts w:hint="eastAsia" w:ascii="宋体" w:hAnsi="宋体" w:cs="宋体"/>
          <w:sz w:val="24"/>
          <w:lang w:val="en-US" w:eastAsia="zh-CN"/>
        </w:rPr>
        <w:t>3</w:t>
      </w:r>
      <w:r>
        <w:rPr>
          <w:rFonts w:ascii="宋体" w:hAnsi="宋体" w:cs="宋体"/>
          <w:sz w:val="24"/>
        </w:rPr>
        <w:t>）参加报价的供应商名单及报价情况和未参加报价的供应商名单及原因；</w:t>
      </w:r>
    </w:p>
    <w:p>
      <w:pPr>
        <w:pStyle w:val="24"/>
        <w:ind w:firstLine="480"/>
        <w:rPr>
          <w:rFonts w:ascii="宋体" w:hAnsi="宋体" w:cs="宋体"/>
          <w:sz w:val="24"/>
        </w:rPr>
      </w:pPr>
      <w:r>
        <w:rPr>
          <w:rFonts w:ascii="宋体" w:hAnsi="宋体" w:cs="宋体"/>
          <w:sz w:val="24"/>
        </w:rPr>
        <w:t>（</w:t>
      </w:r>
      <w:r>
        <w:rPr>
          <w:rFonts w:hint="eastAsia" w:ascii="宋体" w:hAnsi="宋体" w:cs="宋体"/>
          <w:sz w:val="24"/>
          <w:lang w:val="en-US" w:eastAsia="zh-CN"/>
        </w:rPr>
        <w:t>4</w:t>
      </w:r>
      <w:r>
        <w:rPr>
          <w:rFonts w:ascii="宋体" w:hAnsi="宋体" w:cs="宋体"/>
          <w:sz w:val="24"/>
        </w:rPr>
        <w:t>）评审情况记录和说明，包括对供应商的资格审查情况、供应商响应文件审查情况等；</w:t>
      </w:r>
    </w:p>
    <w:p>
      <w:pPr>
        <w:pStyle w:val="24"/>
        <w:ind w:firstLine="480"/>
        <w:rPr>
          <w:rFonts w:ascii="宋体" w:hAnsi="宋体" w:cs="宋体"/>
          <w:sz w:val="24"/>
        </w:rPr>
      </w:pPr>
      <w:r>
        <w:rPr>
          <w:rFonts w:ascii="宋体" w:hAnsi="宋体" w:cs="宋体"/>
          <w:sz w:val="24"/>
        </w:rPr>
        <w:t>（</w:t>
      </w:r>
      <w:r>
        <w:rPr>
          <w:rFonts w:hint="eastAsia" w:ascii="宋体" w:hAnsi="宋体" w:cs="宋体"/>
          <w:sz w:val="24"/>
          <w:lang w:val="en-US" w:eastAsia="zh-CN"/>
        </w:rPr>
        <w:t>5</w:t>
      </w:r>
      <w:r>
        <w:rPr>
          <w:rFonts w:ascii="宋体" w:hAnsi="宋体" w:cs="宋体"/>
          <w:sz w:val="24"/>
        </w:rPr>
        <w:t>）推荐的成交候选供应商名单及理由。</w:t>
      </w:r>
    </w:p>
    <w:p>
      <w:pPr>
        <w:pStyle w:val="24"/>
        <w:ind w:firstLine="480"/>
        <w:rPr>
          <w:rFonts w:ascii="宋体" w:hAnsi="宋体" w:cs="宋体"/>
          <w:sz w:val="24"/>
        </w:rPr>
      </w:pPr>
      <w:r>
        <w:rPr>
          <w:rFonts w:hint="eastAsia" w:ascii="宋体" w:hAnsi="宋体" w:cs="宋体"/>
          <w:sz w:val="24"/>
          <w:lang w:eastAsia="zh-CN"/>
        </w:rPr>
        <w:t>评比小组</w:t>
      </w:r>
      <w:r>
        <w:rPr>
          <w:rFonts w:ascii="宋体" w:hAnsi="宋体" w:cs="宋体"/>
          <w:sz w:val="24"/>
        </w:rPr>
        <w:t>在询价过程中，不得改变询价通知书所确定的技术和服务等要求、评审程序、评定成交的标准和合同文本等事项。</w:t>
      </w:r>
    </w:p>
    <w:p>
      <w:pPr>
        <w:pStyle w:val="24"/>
        <w:ind w:firstLine="480"/>
        <w:rPr>
          <w:rFonts w:ascii="宋体" w:hAnsi="宋体" w:cs="宋体"/>
          <w:sz w:val="24"/>
        </w:rPr>
      </w:pPr>
      <w:r>
        <w:rPr>
          <w:rFonts w:ascii="宋体" w:hAnsi="宋体" w:cs="宋体"/>
          <w:sz w:val="24"/>
        </w:rPr>
        <w:t>供应商资格审查应当以有关法律法规和采购文件为依据，审查范围不能超过法律法规和询价通知书中对供应商的资格条件要求。</w:t>
      </w:r>
      <w:r>
        <w:rPr>
          <w:rFonts w:hint="eastAsia" w:ascii="宋体" w:hAnsi="宋体" w:cs="宋体"/>
          <w:sz w:val="24"/>
          <w:lang w:eastAsia="zh-CN"/>
        </w:rPr>
        <w:t>评比小组</w:t>
      </w:r>
      <w:r>
        <w:rPr>
          <w:rFonts w:ascii="宋体" w:hAnsi="宋体" w:cs="宋体"/>
          <w:sz w:val="24"/>
        </w:rPr>
        <w:t>资格审查过程中，其成员对供应商资格是否符合规定存在争议的，应当以少数服从多数的原则处理。</w:t>
      </w:r>
    </w:p>
    <w:p>
      <w:pPr>
        <w:pStyle w:val="24"/>
        <w:ind w:firstLine="480"/>
        <w:rPr>
          <w:rFonts w:ascii="宋体" w:hAnsi="宋体" w:cs="宋体"/>
          <w:sz w:val="24"/>
        </w:rPr>
      </w:pPr>
      <w:r>
        <w:rPr>
          <w:rFonts w:ascii="宋体" w:hAnsi="宋体" w:cs="宋体"/>
          <w:sz w:val="24"/>
        </w:rPr>
        <w:t>有失信行为记入诚信档案且在有效期内的供应商，实行 10%的报价加成，以加成后报价作为该供应商报价评审。因其失信行为进行报价加成惩戒后报价超过政府采购预算的，其响应文件按照无效处理。</w:t>
      </w:r>
    </w:p>
    <w:p>
      <w:pPr>
        <w:pStyle w:val="24"/>
        <w:ind w:firstLine="480"/>
        <w:rPr>
          <w:rFonts w:ascii="宋体" w:hAnsi="宋体" w:cs="宋体"/>
          <w:sz w:val="24"/>
        </w:rPr>
      </w:pPr>
      <w:r>
        <w:rPr>
          <w:rFonts w:ascii="宋体" w:hAnsi="宋体" w:cs="宋体"/>
          <w:sz w:val="24"/>
        </w:rPr>
        <w:t>供应商参加政府采购活动时，应当就自己的诚信情况在响应文件中进行承诺或注明。</w:t>
      </w:r>
    </w:p>
    <w:p>
      <w:pPr>
        <w:pStyle w:val="24"/>
        <w:ind w:firstLine="480"/>
        <w:rPr>
          <w:rFonts w:ascii="宋体" w:hAnsi="宋体" w:cs="宋体"/>
          <w:sz w:val="24"/>
        </w:rPr>
      </w:pPr>
      <w:r>
        <w:rPr>
          <w:rFonts w:hint="eastAsia" w:ascii="宋体" w:hAnsi="宋体" w:cs="宋体"/>
          <w:sz w:val="24"/>
          <w:lang w:eastAsia="zh-CN"/>
        </w:rPr>
        <w:t>评比小组</w:t>
      </w:r>
      <w:r>
        <w:rPr>
          <w:rFonts w:ascii="宋体" w:hAnsi="宋体" w:cs="宋体"/>
          <w:sz w:val="24"/>
        </w:rPr>
        <w:t>认为供应商的报价明显低于其他通过符合性审查供应商的报价，有可能影响产品质量或者不能诚信履约的，</w:t>
      </w:r>
      <w:r>
        <w:rPr>
          <w:rFonts w:hint="eastAsia" w:ascii="宋体" w:hAnsi="宋体" w:cs="宋体"/>
          <w:sz w:val="24"/>
          <w:lang w:eastAsia="zh-CN"/>
        </w:rPr>
        <w:t>评比小组</w:t>
      </w:r>
      <w:r>
        <w:rPr>
          <w:rFonts w:ascii="宋体" w:hAnsi="宋体" w:cs="宋体"/>
          <w:sz w:val="24"/>
        </w:rPr>
        <w:t>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4"/>
        <w:ind w:firstLine="480"/>
        <w:rPr>
          <w:rFonts w:ascii="宋体" w:hAnsi="宋体" w:cs="宋体"/>
          <w:sz w:val="24"/>
        </w:rPr>
      </w:pPr>
      <w:r>
        <w:rPr>
          <w:rFonts w:ascii="宋体" w:hAnsi="宋体" w:cs="宋体"/>
          <w:sz w:val="24"/>
        </w:rPr>
        <w:t>供应商书面说明应当签字确认或者加盖公章，否则无效。</w:t>
      </w:r>
    </w:p>
    <w:p>
      <w:pPr>
        <w:pStyle w:val="24"/>
        <w:ind w:firstLine="480"/>
        <w:rPr>
          <w:rFonts w:ascii="宋体" w:hAnsi="宋体" w:cs="宋体"/>
          <w:sz w:val="24"/>
        </w:rPr>
      </w:pPr>
      <w:r>
        <w:rPr>
          <w:rFonts w:ascii="宋体" w:hAnsi="宋体" w:cs="宋体"/>
          <w:sz w:val="24"/>
        </w:rPr>
        <w:t>供应商提供书面说明后，</w:t>
      </w:r>
      <w:r>
        <w:rPr>
          <w:rFonts w:hint="eastAsia" w:ascii="宋体" w:hAnsi="宋体" w:cs="宋体"/>
          <w:sz w:val="24"/>
          <w:lang w:eastAsia="zh-CN"/>
        </w:rPr>
        <w:t>评比小组</w:t>
      </w:r>
      <w:r>
        <w:rPr>
          <w:rFonts w:ascii="宋体" w:hAnsi="宋体" w:cs="宋体"/>
          <w:sz w:val="24"/>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cs="宋体"/>
          <w:sz w:val="24"/>
          <w:lang w:eastAsia="zh-CN"/>
        </w:rPr>
        <w:t>评比小组</w:t>
      </w:r>
      <w:r>
        <w:rPr>
          <w:rFonts w:ascii="宋体" w:hAnsi="宋体" w:cs="宋体"/>
          <w:sz w:val="24"/>
        </w:rPr>
        <w:t>应当将其响应文件作为无效处理。</w:t>
      </w:r>
    </w:p>
    <w:p>
      <w:pPr>
        <w:pStyle w:val="24"/>
        <w:ind w:firstLine="480"/>
        <w:rPr>
          <w:rFonts w:ascii="宋体" w:hAnsi="宋体" w:cs="宋体"/>
          <w:sz w:val="24"/>
        </w:rPr>
      </w:pPr>
      <w:r>
        <w:rPr>
          <w:rFonts w:hint="eastAsia" w:ascii="宋体" w:hAnsi="宋体" w:cs="宋体"/>
          <w:sz w:val="24"/>
          <w:lang w:eastAsia="zh-CN"/>
        </w:rPr>
        <w:t>评比小组</w:t>
      </w:r>
      <w:r>
        <w:rPr>
          <w:rFonts w:ascii="宋体" w:hAnsi="宋体" w:cs="宋体"/>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4"/>
        <w:ind w:firstLine="480"/>
        <w:rPr>
          <w:rFonts w:ascii="宋体" w:hAnsi="宋体" w:cs="宋体"/>
          <w:sz w:val="24"/>
        </w:rPr>
      </w:pPr>
      <w:r>
        <w:rPr>
          <w:rFonts w:ascii="宋体" w:hAnsi="宋体" w:cs="宋体"/>
          <w:sz w:val="24"/>
        </w:rPr>
        <w:t>需要供应商对响应文件中含义不明确、同类问题表述不一致、有明显文字和计算错误等作出必要的澄清、说明或者更正的，应当以书面形式（须由</w:t>
      </w:r>
      <w:r>
        <w:rPr>
          <w:rFonts w:hint="eastAsia" w:ascii="宋体" w:hAnsi="宋体" w:cs="宋体"/>
          <w:sz w:val="24"/>
          <w:lang w:eastAsia="zh-CN"/>
        </w:rPr>
        <w:t>评比小组</w:t>
      </w:r>
      <w:r>
        <w:rPr>
          <w:rFonts w:ascii="宋体" w:hAnsi="宋体" w:cs="宋体"/>
          <w:sz w:val="24"/>
        </w:rPr>
        <w:t>会全体成员签字）作出，并给予供应商必要的反馈时间。</w:t>
      </w:r>
    </w:p>
    <w:p>
      <w:pPr>
        <w:pStyle w:val="24"/>
        <w:ind w:firstLine="480"/>
        <w:rPr>
          <w:rFonts w:ascii="宋体" w:hAnsi="宋体" w:cs="宋体"/>
          <w:sz w:val="24"/>
        </w:rPr>
      </w:pPr>
      <w:r>
        <w:rPr>
          <w:rFonts w:ascii="宋体" w:hAnsi="宋体" w:cs="宋体"/>
          <w:sz w:val="24"/>
        </w:rPr>
        <w:t>供应商的澄清、说明或者更正材料应当采用书面形式，并由其法定代表人/主要负责人/本人或其授权代表签字或者加盖公章。</w:t>
      </w:r>
    </w:p>
    <w:p>
      <w:pPr>
        <w:pStyle w:val="24"/>
        <w:ind w:firstLine="480"/>
        <w:rPr>
          <w:rFonts w:ascii="宋体" w:hAnsi="宋体" w:cs="宋体"/>
          <w:sz w:val="24"/>
        </w:rPr>
      </w:pPr>
      <w:r>
        <w:rPr>
          <w:rFonts w:ascii="宋体" w:hAnsi="宋体" w:cs="宋体"/>
          <w:sz w:val="24"/>
        </w:rPr>
        <w:t>供应商现场报价，应当在评审室外填写报价单，必须按照报价表格式完整填写，并签字或盖章，密封递交现场监督人员或采购代理机构工作人员。由工作人员收齐后集中递交</w:t>
      </w:r>
      <w:r>
        <w:rPr>
          <w:rFonts w:hint="eastAsia" w:ascii="宋体" w:hAnsi="宋体" w:cs="宋体"/>
          <w:sz w:val="24"/>
          <w:lang w:eastAsia="zh-CN"/>
        </w:rPr>
        <w:t>评比小组</w:t>
      </w:r>
      <w:r>
        <w:rPr>
          <w:rFonts w:ascii="宋体" w:hAnsi="宋体" w:cs="宋体"/>
          <w:sz w:val="24"/>
        </w:rPr>
        <w:t>。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24"/>
        <w:ind w:firstLine="480"/>
        <w:rPr>
          <w:rFonts w:ascii="宋体" w:hAnsi="宋体" w:cs="宋体"/>
          <w:sz w:val="24"/>
        </w:rPr>
      </w:pPr>
      <w:r>
        <w:rPr>
          <w:rFonts w:ascii="宋体" w:hAnsi="宋体" w:cs="宋体"/>
          <w:sz w:val="24"/>
        </w:rPr>
        <w:t>供应商在报价过程中，不得串通。发现供应商存在串通的，</w:t>
      </w:r>
      <w:r>
        <w:rPr>
          <w:rFonts w:hint="eastAsia" w:ascii="宋体" w:hAnsi="宋体" w:cs="宋体"/>
          <w:sz w:val="24"/>
          <w:lang w:eastAsia="zh-CN"/>
        </w:rPr>
        <w:t>评比小组</w:t>
      </w:r>
      <w:r>
        <w:rPr>
          <w:rFonts w:ascii="宋体" w:hAnsi="宋体" w:cs="宋体"/>
          <w:sz w:val="24"/>
        </w:rPr>
        <w:t>应将其响应文件作无效处理。</w:t>
      </w:r>
    </w:p>
    <w:p>
      <w:pPr>
        <w:pStyle w:val="24"/>
        <w:ind w:firstLine="480"/>
        <w:rPr>
          <w:rFonts w:ascii="宋体" w:hAnsi="宋体" w:cs="宋体"/>
          <w:sz w:val="24"/>
        </w:rPr>
      </w:pPr>
      <w:r>
        <w:rPr>
          <w:rFonts w:ascii="宋体" w:hAnsi="宋体" w:cs="宋体"/>
          <w:sz w:val="24"/>
        </w:rPr>
        <w:t>出现下列情形之一的，终止询价采购活动：</w:t>
      </w:r>
    </w:p>
    <w:p>
      <w:pPr>
        <w:pStyle w:val="24"/>
        <w:ind w:firstLine="480"/>
        <w:rPr>
          <w:rFonts w:ascii="宋体" w:hAnsi="宋体" w:cs="宋体"/>
          <w:sz w:val="24"/>
        </w:rPr>
      </w:pPr>
      <w:r>
        <w:rPr>
          <w:rFonts w:ascii="宋体" w:hAnsi="宋体" w:cs="宋体"/>
          <w:sz w:val="24"/>
        </w:rPr>
        <w:t>（</w:t>
      </w:r>
      <w:r>
        <w:rPr>
          <w:rFonts w:hint="eastAsia" w:ascii="宋体" w:hAnsi="宋体" w:cs="宋体"/>
          <w:sz w:val="24"/>
          <w:lang w:val="en-US" w:eastAsia="zh-CN"/>
        </w:rPr>
        <w:t>1</w:t>
      </w:r>
      <w:r>
        <w:rPr>
          <w:rFonts w:ascii="宋体" w:hAnsi="宋体" w:cs="宋体"/>
          <w:sz w:val="24"/>
        </w:rPr>
        <w:t>）因情况变化，不再符合规定的询价采购方式适用情形的；</w:t>
      </w:r>
    </w:p>
    <w:p>
      <w:pPr>
        <w:pStyle w:val="24"/>
        <w:ind w:firstLine="480"/>
        <w:rPr>
          <w:rFonts w:ascii="宋体" w:hAnsi="宋体" w:cs="宋体"/>
          <w:sz w:val="24"/>
        </w:rPr>
      </w:pPr>
      <w:r>
        <w:rPr>
          <w:rFonts w:ascii="宋体" w:hAnsi="宋体" w:cs="宋体"/>
          <w:sz w:val="24"/>
        </w:rPr>
        <w:t>（</w:t>
      </w:r>
      <w:r>
        <w:rPr>
          <w:rFonts w:hint="eastAsia" w:ascii="宋体" w:hAnsi="宋体" w:cs="宋体"/>
          <w:sz w:val="24"/>
          <w:lang w:val="en-US" w:eastAsia="zh-CN"/>
        </w:rPr>
        <w:t>2</w:t>
      </w:r>
      <w:r>
        <w:rPr>
          <w:rFonts w:ascii="宋体" w:hAnsi="宋体" w:cs="宋体"/>
          <w:sz w:val="24"/>
        </w:rPr>
        <w:t>）出现影响采购公正的违法、违规行为的；</w:t>
      </w:r>
    </w:p>
    <w:p>
      <w:pPr>
        <w:pStyle w:val="24"/>
        <w:ind w:firstLine="480"/>
        <w:rPr>
          <w:rFonts w:ascii="宋体" w:hAnsi="宋体" w:cs="宋体"/>
          <w:sz w:val="24"/>
        </w:rPr>
      </w:pPr>
      <w:r>
        <w:rPr>
          <w:rFonts w:ascii="宋体" w:hAnsi="宋体" w:cs="宋体"/>
          <w:sz w:val="24"/>
        </w:rPr>
        <w:t>（</w:t>
      </w:r>
      <w:r>
        <w:rPr>
          <w:rFonts w:hint="eastAsia" w:ascii="宋体" w:hAnsi="宋体" w:cs="宋体"/>
          <w:sz w:val="24"/>
          <w:lang w:val="en-US" w:eastAsia="zh-CN"/>
        </w:rPr>
        <w:t>3</w:t>
      </w:r>
      <w:r>
        <w:rPr>
          <w:rFonts w:ascii="宋体" w:hAnsi="宋体" w:cs="宋体"/>
          <w:sz w:val="24"/>
        </w:rPr>
        <w:t>）在采购过程中符合竞争要求的供应商或者报价未超过采购预算的供应商不足 3 家的。</w:t>
      </w:r>
    </w:p>
    <w:p>
      <w:pPr>
        <w:pStyle w:val="24"/>
        <w:ind w:firstLine="480"/>
        <w:rPr>
          <w:rFonts w:ascii="宋体" w:hAnsi="宋体" w:cs="宋体"/>
          <w:sz w:val="24"/>
        </w:rPr>
      </w:pPr>
      <w:bookmarkStart w:id="105" w:name="3.评审纪律"/>
      <w:bookmarkEnd w:id="105"/>
      <w:r>
        <w:rPr>
          <w:rFonts w:hint="eastAsia" w:ascii="宋体" w:hAnsi="宋体" w:cs="宋体"/>
          <w:sz w:val="24"/>
          <w:lang w:val="en-US" w:eastAsia="zh-CN"/>
        </w:rPr>
        <w:t>10、</w:t>
      </w:r>
      <w:r>
        <w:rPr>
          <w:rFonts w:ascii="宋体" w:hAnsi="宋体" w:cs="宋体"/>
          <w:sz w:val="24"/>
        </w:rPr>
        <w:t>评审纪律</w:t>
      </w:r>
    </w:p>
    <w:p>
      <w:pPr>
        <w:pStyle w:val="24"/>
        <w:ind w:firstLine="480"/>
        <w:rPr>
          <w:rFonts w:ascii="宋体" w:hAnsi="宋体" w:cs="宋体"/>
          <w:sz w:val="24"/>
        </w:rPr>
      </w:pPr>
      <w:r>
        <w:rPr>
          <w:rFonts w:hint="eastAsia" w:ascii="宋体" w:hAnsi="宋体" w:cs="宋体"/>
          <w:sz w:val="24"/>
          <w:lang w:eastAsia="zh-CN"/>
        </w:rPr>
        <w:t>评比小组</w:t>
      </w:r>
      <w:r>
        <w:rPr>
          <w:rFonts w:ascii="宋体" w:hAnsi="宋体" w:cs="宋体"/>
          <w:sz w:val="24"/>
        </w:rPr>
        <w:t>在采购活动过程中，应当按照《中华人民共和国政府采购法实施条例》、《政府采购非招标采购方式管理办法》的规定履行职责和义务，不得违法评审、</w:t>
      </w:r>
    </w:p>
    <w:p>
      <w:pPr>
        <w:pStyle w:val="24"/>
        <w:ind w:firstLine="480"/>
        <w:rPr>
          <w:rFonts w:ascii="宋体" w:hAnsi="宋体" w:cs="宋体"/>
          <w:sz w:val="24"/>
        </w:rPr>
        <w:sectPr>
          <w:footerReference r:id="rId8" w:type="default"/>
          <w:pgSz w:w="11850" w:h="16790"/>
          <w:pgMar w:top="1420" w:right="1600" w:bottom="1320" w:left="1660" w:header="0" w:footer="1131" w:gutter="0"/>
          <w:cols w:space="720" w:num="1"/>
        </w:sectPr>
      </w:pPr>
    </w:p>
    <w:p>
      <w:pPr>
        <w:pStyle w:val="24"/>
        <w:ind w:firstLine="480"/>
        <w:rPr>
          <w:rFonts w:ascii="宋体" w:hAnsi="宋体" w:cs="宋体"/>
          <w:sz w:val="24"/>
        </w:rPr>
      </w:pPr>
    </w:p>
    <w:p>
      <w:pPr>
        <w:pStyle w:val="24"/>
        <w:ind w:firstLine="480"/>
        <w:rPr>
          <w:rFonts w:ascii="宋体" w:hAnsi="宋体" w:cs="宋体"/>
          <w:sz w:val="24"/>
        </w:rPr>
      </w:pPr>
    </w:p>
    <w:p>
      <w:pPr>
        <w:tabs>
          <w:tab w:val="left" w:pos="1571"/>
        </w:tabs>
        <w:spacing w:line="520" w:lineRule="exact"/>
        <w:ind w:firstLine="480" w:firstLineChars="200"/>
        <w:rPr>
          <w:rFonts w:ascii="宋体" w:hAnsi="宋体" w:cs="宋体"/>
          <w:sz w:val="24"/>
        </w:rPr>
      </w:pPr>
      <w:r>
        <w:rPr>
          <w:rFonts w:hint="eastAsia" w:ascii="宋体" w:hAnsi="宋体" w:cs="宋体"/>
          <w:sz w:val="24"/>
          <w:lang w:val="en-US" w:eastAsia="zh-CN"/>
        </w:rPr>
        <w:t>11、</w:t>
      </w:r>
      <w:r>
        <w:rPr>
          <w:rFonts w:hint="eastAsia" w:ascii="宋体" w:hAnsi="宋体" w:cs="宋体"/>
          <w:sz w:val="24"/>
        </w:rPr>
        <w:t>推荐中选候选人</w:t>
      </w:r>
    </w:p>
    <w:p>
      <w:pPr>
        <w:tabs>
          <w:tab w:val="left" w:pos="1571"/>
        </w:tabs>
        <w:spacing w:line="520" w:lineRule="exact"/>
        <w:ind w:firstLine="480" w:firstLineChars="200"/>
        <w:rPr>
          <w:rFonts w:ascii="宋体" w:hAnsi="宋体" w:cs="宋体"/>
          <w:sz w:val="24"/>
        </w:rPr>
      </w:pPr>
      <w:r>
        <w:rPr>
          <w:rFonts w:hint="eastAsia" w:ascii="宋体" w:hAnsi="宋体" w:cs="宋体"/>
          <w:sz w:val="24"/>
        </w:rPr>
        <w:t>按通过详细审查的比选申请人评分从高到低推荐3名中选候选人。</w:t>
      </w:r>
    </w:p>
    <w:p>
      <w:pPr>
        <w:spacing w:line="520" w:lineRule="exact"/>
        <w:ind w:firstLine="480" w:firstLineChars="200"/>
        <w:rPr>
          <w:rFonts w:ascii="宋体" w:hAnsi="宋体" w:cs="宋体"/>
          <w:sz w:val="24"/>
        </w:rPr>
      </w:pPr>
      <w:r>
        <w:rPr>
          <w:rFonts w:hint="eastAsia" w:ascii="宋体" w:hAnsi="宋体" w:cs="宋体"/>
          <w:sz w:val="24"/>
          <w:lang w:val="en-US" w:eastAsia="zh-CN"/>
        </w:rPr>
        <w:t>12、</w:t>
      </w:r>
      <w:r>
        <w:rPr>
          <w:rFonts w:hint="eastAsia" w:ascii="宋体" w:hAnsi="宋体" w:cs="宋体"/>
          <w:sz w:val="24"/>
        </w:rPr>
        <w:t>以下情况本次比选采购失败</w:t>
      </w:r>
    </w:p>
    <w:p>
      <w:pPr>
        <w:spacing w:line="52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通过资格、符合审查的比选申请人不足三家的；</w:t>
      </w:r>
    </w:p>
    <w:p>
      <w:pPr>
        <w:spacing w:line="52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比选申请人最后报价均超过本次采购项目最高限价，且比选人不能支付的；</w:t>
      </w:r>
    </w:p>
    <w:p>
      <w:pPr>
        <w:spacing w:line="520" w:lineRule="exact"/>
        <w:ind w:firstLine="480" w:firstLineChars="200"/>
        <w:rPr>
          <w:rFonts w:ascii="宋体" w:hAnsi="宋体" w:cs="宋体"/>
          <w:sz w:val="28"/>
          <w:szCs w:val="28"/>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其他无法继续开展评比或者无法成交的情形。</w:t>
      </w:r>
      <w:bookmarkEnd w:id="101"/>
      <w:bookmarkEnd w:id="102"/>
      <w:bookmarkEnd w:id="103"/>
    </w:p>
    <w:p>
      <w:pPr>
        <w:jc w:val="center"/>
        <w:outlineLvl w:val="0"/>
        <w:rPr>
          <w:rFonts w:ascii="宋体" w:hAnsi="宋体" w:cs="宋体"/>
          <w:b/>
          <w:bCs/>
          <w:kern w:val="0"/>
          <w:sz w:val="32"/>
          <w:szCs w:val="32"/>
          <w:lang w:val="zh-CN"/>
        </w:rPr>
      </w:pPr>
      <w:r>
        <w:rPr>
          <w:rFonts w:hint="eastAsia" w:ascii="宋体" w:hAnsi="宋体" w:cs="宋体"/>
          <w:b/>
          <w:sz w:val="32"/>
          <w:szCs w:val="32"/>
        </w:rPr>
        <w:br w:type="page"/>
      </w:r>
      <w:bookmarkStart w:id="106" w:name="_Toc5786_WPSOffice_Level1"/>
      <w:bookmarkStart w:id="107" w:name="_Toc6335"/>
      <w:r>
        <w:rPr>
          <w:rFonts w:hint="eastAsia" w:ascii="宋体" w:hAnsi="宋体" w:cs="宋体"/>
          <w:b/>
          <w:sz w:val="32"/>
          <w:szCs w:val="32"/>
        </w:rPr>
        <w:t xml:space="preserve">第五部分 </w:t>
      </w:r>
      <w:r>
        <w:rPr>
          <w:rFonts w:hint="eastAsia" w:ascii="宋体" w:hAnsi="宋体" w:cs="宋体"/>
          <w:b/>
          <w:bCs/>
          <w:kern w:val="0"/>
          <w:sz w:val="32"/>
          <w:szCs w:val="32"/>
          <w:lang w:val="zh-CN"/>
        </w:rPr>
        <w:t>比选申请书格式及要求</w:t>
      </w:r>
      <w:bookmarkEnd w:id="67"/>
      <w:bookmarkEnd w:id="106"/>
      <w:bookmarkEnd w:id="107"/>
      <w:bookmarkStart w:id="108" w:name="_Toc425509580"/>
    </w:p>
    <w:p>
      <w:pPr>
        <w:rPr>
          <w:rFonts w:ascii="宋体" w:hAnsi="宋体" w:cs="宋体"/>
          <w:b/>
          <w:bCs/>
          <w:sz w:val="32"/>
          <w:szCs w:val="32"/>
        </w:rPr>
      </w:pPr>
      <w:r>
        <w:rPr>
          <w:rFonts w:hint="eastAsia" w:ascii="宋体" w:hAnsi="宋体" w:cs="宋体"/>
          <w:b/>
          <w:bCs/>
          <w:sz w:val="32"/>
          <w:szCs w:val="32"/>
        </w:rPr>
        <w:t>1、比选申请书封面或扉页</w:t>
      </w:r>
      <w:bookmarkEnd w:id="108"/>
    </w:p>
    <w:p>
      <w:pPr>
        <w:pStyle w:val="14"/>
        <w:spacing w:line="360" w:lineRule="auto"/>
        <w:ind w:firstLine="640"/>
        <w:jc w:val="right"/>
        <w:rPr>
          <w:rFonts w:ascii="宋体" w:hAnsi="宋体"/>
          <w:sz w:val="32"/>
          <w:szCs w:val="32"/>
        </w:rPr>
      </w:pPr>
      <w:r>
        <w:rPr>
          <w:rFonts w:hint="eastAsia" w:ascii="宋体" w:hAnsi="宋体"/>
          <w:sz w:val="32"/>
          <w:szCs w:val="32"/>
        </w:rPr>
        <w:t>正本（或副本）</w:t>
      </w:r>
    </w:p>
    <w:p>
      <w:pPr>
        <w:pStyle w:val="14"/>
        <w:spacing w:line="360" w:lineRule="auto"/>
        <w:ind w:firstLine="640"/>
        <w:rPr>
          <w:rFonts w:ascii="宋体" w:hAnsi="宋体"/>
          <w:sz w:val="32"/>
          <w:szCs w:val="32"/>
        </w:rPr>
      </w:pPr>
    </w:p>
    <w:p>
      <w:pPr>
        <w:pStyle w:val="14"/>
        <w:spacing w:line="360" w:lineRule="auto"/>
        <w:ind w:firstLine="640"/>
        <w:rPr>
          <w:rFonts w:ascii="宋体" w:hAnsi="宋体"/>
          <w:sz w:val="32"/>
          <w:szCs w:val="32"/>
        </w:rPr>
      </w:pPr>
    </w:p>
    <w:p>
      <w:pPr>
        <w:pStyle w:val="14"/>
        <w:spacing w:line="360" w:lineRule="auto"/>
        <w:ind w:firstLine="640"/>
        <w:rPr>
          <w:rFonts w:ascii="宋体" w:hAnsi="宋体"/>
          <w:sz w:val="32"/>
          <w:szCs w:val="32"/>
        </w:rPr>
      </w:pPr>
    </w:p>
    <w:p>
      <w:pPr>
        <w:tabs>
          <w:tab w:val="left" w:pos="2520"/>
        </w:tabs>
        <w:spacing w:line="360" w:lineRule="auto"/>
        <w:rPr>
          <w:rFonts w:ascii="宋体" w:hAnsi="宋体" w:cs="宋体"/>
          <w:b/>
          <w:bCs/>
          <w:sz w:val="48"/>
          <w:szCs w:val="48"/>
        </w:rPr>
      </w:pPr>
      <w:r>
        <w:rPr>
          <w:rFonts w:hint="eastAsia" w:ascii="宋体" w:hAnsi="宋体" w:cs="宋体"/>
          <w:b/>
          <w:bCs/>
          <w:sz w:val="48"/>
          <w:szCs w:val="48"/>
        </w:rPr>
        <w:t xml:space="preserve">项目名称： </w:t>
      </w:r>
    </w:p>
    <w:p>
      <w:pPr>
        <w:tabs>
          <w:tab w:val="left" w:pos="2520"/>
        </w:tabs>
        <w:spacing w:line="360" w:lineRule="auto"/>
        <w:rPr>
          <w:rFonts w:hint="eastAsia" w:ascii="宋体" w:hAnsi="宋体" w:cs="宋体"/>
          <w:b/>
          <w:bCs/>
          <w:sz w:val="48"/>
          <w:szCs w:val="48"/>
        </w:rPr>
      </w:pPr>
      <w:r>
        <w:rPr>
          <w:rFonts w:hint="eastAsia" w:ascii="宋体" w:hAnsi="宋体" w:cs="宋体"/>
          <w:b/>
          <w:bCs/>
          <w:sz w:val="40"/>
          <w:szCs w:val="40"/>
          <w:lang w:eastAsia="zh-Hans"/>
        </w:rPr>
        <w:t>成都七中初中学校</w:t>
      </w:r>
      <w:r>
        <w:rPr>
          <w:rFonts w:hint="eastAsia" w:ascii="宋体" w:hAnsi="宋体" w:cs="宋体"/>
          <w:b/>
          <w:bCs/>
          <w:sz w:val="40"/>
          <w:szCs w:val="40"/>
        </w:rPr>
        <w:t>直录播教室设备采购项目</w:t>
      </w:r>
    </w:p>
    <w:p>
      <w:pPr>
        <w:pStyle w:val="14"/>
        <w:spacing w:line="360" w:lineRule="auto"/>
        <w:ind w:firstLine="643"/>
        <w:jc w:val="center"/>
        <w:rPr>
          <w:rFonts w:ascii="宋体" w:hAnsi="宋体"/>
          <w:b/>
          <w:sz w:val="32"/>
          <w:szCs w:val="32"/>
        </w:rPr>
      </w:pPr>
    </w:p>
    <w:p>
      <w:pPr>
        <w:pStyle w:val="14"/>
        <w:spacing w:line="360" w:lineRule="auto"/>
        <w:ind w:firstLine="643"/>
        <w:jc w:val="center"/>
        <w:rPr>
          <w:rFonts w:ascii="宋体" w:hAnsi="宋体"/>
          <w:b/>
          <w:sz w:val="32"/>
          <w:szCs w:val="32"/>
        </w:rPr>
      </w:pPr>
    </w:p>
    <w:p>
      <w:pPr>
        <w:pStyle w:val="14"/>
        <w:spacing w:line="360" w:lineRule="auto"/>
        <w:ind w:firstLine="643"/>
        <w:jc w:val="center"/>
        <w:rPr>
          <w:rFonts w:ascii="宋体" w:hAnsi="宋体"/>
          <w:b/>
          <w:sz w:val="32"/>
          <w:szCs w:val="32"/>
        </w:rPr>
      </w:pPr>
    </w:p>
    <w:p>
      <w:pPr>
        <w:pStyle w:val="14"/>
        <w:spacing w:line="360" w:lineRule="auto"/>
        <w:ind w:firstLine="964"/>
        <w:rPr>
          <w:rFonts w:ascii="宋体" w:hAnsi="宋体"/>
          <w:b/>
          <w:bCs/>
          <w:sz w:val="48"/>
          <w:szCs w:val="48"/>
        </w:rPr>
      </w:pPr>
      <w:r>
        <w:rPr>
          <w:rFonts w:hint="eastAsia" w:ascii="宋体" w:hAnsi="宋体"/>
          <w:b/>
          <w:bCs/>
          <w:sz w:val="48"/>
          <w:szCs w:val="48"/>
        </w:rPr>
        <w:t xml:space="preserve">     比选申请书</w:t>
      </w:r>
    </w:p>
    <w:p>
      <w:pPr>
        <w:pStyle w:val="14"/>
        <w:spacing w:line="360" w:lineRule="auto"/>
        <w:ind w:firstLine="964"/>
        <w:jc w:val="center"/>
        <w:rPr>
          <w:rFonts w:ascii="宋体" w:hAnsi="宋体"/>
          <w:b/>
          <w:bCs/>
          <w:sz w:val="48"/>
          <w:szCs w:val="48"/>
        </w:rPr>
      </w:pPr>
    </w:p>
    <w:p>
      <w:pPr>
        <w:pStyle w:val="14"/>
        <w:spacing w:line="360" w:lineRule="auto"/>
        <w:ind w:firstLine="720"/>
        <w:jc w:val="center"/>
        <w:rPr>
          <w:rFonts w:ascii="宋体" w:hAnsi="宋体"/>
          <w:spacing w:val="20"/>
          <w:sz w:val="32"/>
          <w:szCs w:val="32"/>
        </w:rPr>
      </w:pPr>
    </w:p>
    <w:p>
      <w:pPr>
        <w:pStyle w:val="14"/>
        <w:spacing w:line="360" w:lineRule="auto"/>
        <w:ind w:firstLine="2268" w:firstLineChars="630"/>
        <w:rPr>
          <w:rFonts w:ascii="宋体" w:hAnsi="宋体"/>
          <w:spacing w:val="20"/>
          <w:sz w:val="32"/>
          <w:szCs w:val="32"/>
        </w:rPr>
      </w:pPr>
      <w:r>
        <w:rPr>
          <w:rFonts w:hint="eastAsia" w:ascii="宋体" w:hAnsi="宋体"/>
          <w:spacing w:val="20"/>
          <w:sz w:val="32"/>
          <w:szCs w:val="32"/>
        </w:rPr>
        <w:t xml:space="preserve"> </w:t>
      </w:r>
    </w:p>
    <w:p>
      <w:pPr>
        <w:pStyle w:val="14"/>
        <w:spacing w:line="360" w:lineRule="auto"/>
        <w:ind w:firstLine="0" w:firstLineChars="0"/>
        <w:rPr>
          <w:rFonts w:ascii="宋体" w:hAnsi="宋体"/>
          <w:sz w:val="32"/>
          <w:szCs w:val="32"/>
        </w:rPr>
      </w:pPr>
    </w:p>
    <w:p>
      <w:pPr>
        <w:pStyle w:val="14"/>
        <w:spacing w:line="360" w:lineRule="auto"/>
        <w:ind w:firstLine="640"/>
        <w:rPr>
          <w:rFonts w:ascii="宋体" w:hAnsi="宋体"/>
          <w:sz w:val="32"/>
          <w:szCs w:val="32"/>
        </w:rPr>
      </w:pPr>
    </w:p>
    <w:p>
      <w:pPr>
        <w:pStyle w:val="14"/>
        <w:spacing w:line="360" w:lineRule="auto"/>
        <w:ind w:firstLine="640"/>
        <w:rPr>
          <w:rFonts w:ascii="宋体" w:hAnsi="宋体"/>
          <w:sz w:val="32"/>
          <w:szCs w:val="32"/>
        </w:rPr>
      </w:pPr>
    </w:p>
    <w:p>
      <w:pPr>
        <w:pStyle w:val="14"/>
        <w:spacing w:line="360" w:lineRule="auto"/>
        <w:ind w:firstLine="643"/>
        <w:jc w:val="center"/>
        <w:rPr>
          <w:rFonts w:ascii="宋体" w:hAnsi="宋体"/>
          <w:sz w:val="32"/>
          <w:szCs w:val="32"/>
          <w:u w:val="single"/>
        </w:rPr>
      </w:pPr>
      <w:r>
        <w:rPr>
          <w:rFonts w:hint="eastAsia" w:ascii="宋体" w:hAnsi="宋体"/>
          <w:b/>
          <w:sz w:val="32"/>
          <w:szCs w:val="32"/>
        </w:rPr>
        <w:t>比选申请人名称：</w:t>
      </w:r>
      <w:r>
        <w:rPr>
          <w:rFonts w:hint="eastAsia" w:ascii="宋体" w:hAnsi="宋体"/>
          <w:b/>
          <w:sz w:val="32"/>
          <w:szCs w:val="32"/>
          <w:u w:val="single"/>
          <w:lang w:val="en-US" w:eastAsia="zh-CN"/>
        </w:rPr>
        <w:t xml:space="preserve">                 </w:t>
      </w:r>
      <w:r>
        <w:rPr>
          <w:rFonts w:hint="eastAsia" w:ascii="宋体" w:hAnsi="宋体"/>
          <w:b/>
          <w:sz w:val="32"/>
          <w:szCs w:val="32"/>
        </w:rPr>
        <w:t>（加盖公章</w:t>
      </w:r>
      <w:r>
        <w:rPr>
          <w:rFonts w:hint="eastAsia" w:ascii="宋体" w:hAnsi="宋体"/>
          <w:sz w:val="32"/>
          <w:szCs w:val="32"/>
        </w:rPr>
        <w:t>）</w:t>
      </w:r>
    </w:p>
    <w:p>
      <w:pPr>
        <w:pStyle w:val="14"/>
        <w:spacing w:line="360" w:lineRule="auto"/>
        <w:ind w:firstLine="640"/>
        <w:jc w:val="center"/>
        <w:rPr>
          <w:rFonts w:ascii="宋体" w:hAnsi="宋体"/>
          <w:sz w:val="32"/>
          <w:szCs w:val="32"/>
        </w:rPr>
      </w:pPr>
    </w:p>
    <w:p>
      <w:pPr>
        <w:adjustRightInd w:val="0"/>
        <w:snapToGrid w:val="0"/>
        <w:spacing w:before="156" w:beforeLines="50" w:line="360" w:lineRule="auto"/>
        <w:ind w:firstLine="420" w:firstLineChars="200"/>
        <w:jc w:val="center"/>
        <w:rPr>
          <w:rFonts w:ascii="宋体" w:hAnsi="宋体" w:cs="宋体"/>
        </w:rPr>
      </w:pP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日</w:t>
      </w:r>
      <w:bookmarkStart w:id="109" w:name="_Toc425509581"/>
    </w:p>
    <w:p>
      <w:pPr>
        <w:adjustRightInd w:val="0"/>
        <w:snapToGrid w:val="0"/>
        <w:spacing w:before="156" w:beforeLines="50" w:line="360" w:lineRule="auto"/>
        <w:rPr>
          <w:rFonts w:ascii="宋体" w:hAnsi="宋体" w:cs="宋体"/>
          <w:sz w:val="32"/>
          <w:szCs w:val="32"/>
        </w:rPr>
      </w:pPr>
    </w:p>
    <w:p>
      <w:pPr>
        <w:pStyle w:val="2"/>
      </w:pPr>
    </w:p>
    <w:p>
      <w:pPr>
        <w:pStyle w:val="16"/>
        <w:rPr>
          <w:rFonts w:ascii="宋体" w:hAnsi="宋体" w:cs="宋体"/>
        </w:rPr>
      </w:pPr>
    </w:p>
    <w:p>
      <w:pPr>
        <w:adjustRightInd w:val="0"/>
        <w:snapToGrid w:val="0"/>
        <w:spacing w:before="156" w:beforeLines="50" w:line="360" w:lineRule="auto"/>
        <w:rPr>
          <w:rFonts w:ascii="宋体" w:hAnsi="宋体" w:cs="宋体"/>
          <w:b/>
          <w:bCs/>
          <w:sz w:val="32"/>
          <w:szCs w:val="32"/>
        </w:rPr>
      </w:pPr>
      <w:r>
        <w:rPr>
          <w:rFonts w:hint="eastAsia" w:ascii="宋体" w:hAnsi="宋体" w:cs="宋体"/>
          <w:b/>
          <w:bCs/>
          <w:sz w:val="32"/>
          <w:szCs w:val="32"/>
        </w:rPr>
        <w:t>2、比选申请函</w:t>
      </w:r>
      <w:bookmarkEnd w:id="109"/>
    </w:p>
    <w:p>
      <w:pPr>
        <w:spacing w:line="360" w:lineRule="auto"/>
        <w:jc w:val="center"/>
        <w:rPr>
          <w:rFonts w:ascii="宋体" w:hAnsi="宋体" w:cs="宋体"/>
          <w:b/>
          <w:sz w:val="30"/>
          <w:szCs w:val="30"/>
        </w:rPr>
      </w:pPr>
      <w:r>
        <w:rPr>
          <w:rFonts w:hint="eastAsia" w:ascii="宋体" w:hAnsi="宋体" w:cs="宋体"/>
          <w:b/>
          <w:sz w:val="30"/>
          <w:szCs w:val="30"/>
        </w:rPr>
        <w:t>申  请　函</w:t>
      </w:r>
    </w:p>
    <w:p>
      <w:pPr>
        <w:spacing w:line="560" w:lineRule="exact"/>
        <w:rPr>
          <w:rFonts w:ascii="宋体" w:hAnsi="宋体" w:cs="宋体"/>
          <w:kern w:val="0"/>
          <w:sz w:val="24"/>
        </w:rPr>
      </w:pPr>
      <w:r>
        <w:rPr>
          <w:rFonts w:hint="eastAsia" w:ascii="宋体" w:hAnsi="宋体" w:cs="宋体"/>
          <w:sz w:val="24"/>
        </w:rPr>
        <w:t>致：四川省成都市</w:t>
      </w:r>
      <w:r>
        <w:rPr>
          <w:rFonts w:hint="eastAsia" w:ascii="宋体" w:hAnsi="宋体" w:cs="宋体"/>
          <w:sz w:val="24"/>
          <w:lang w:eastAsia="zh-Hans"/>
        </w:rPr>
        <w:t>第七中学初中学校</w:t>
      </w:r>
    </w:p>
    <w:p>
      <w:pPr>
        <w:spacing w:line="560" w:lineRule="exact"/>
        <w:rPr>
          <w:rFonts w:ascii="宋体" w:hAnsi="宋体" w:cs="宋体"/>
          <w:sz w:val="24"/>
        </w:rPr>
      </w:pPr>
      <w:r>
        <w:rPr>
          <w:rFonts w:hint="eastAsia" w:ascii="宋体" w:hAnsi="宋体" w:cs="宋体"/>
          <w:sz w:val="24"/>
        </w:rPr>
        <w:t xml:space="preserve">  </w:t>
      </w:r>
      <w:r>
        <w:rPr>
          <w:rFonts w:hint="eastAsia" w:ascii="宋体" w:hAnsi="宋体" w:cs="宋体"/>
          <w:sz w:val="24"/>
          <w:u w:val="none"/>
        </w:rPr>
        <w:t xml:space="preserve">  一、我单位愿意参加 </w:t>
      </w:r>
      <w:r>
        <w:rPr>
          <w:rFonts w:hint="eastAsia" w:ascii="宋体" w:hAnsi="宋体" w:cs="宋体"/>
          <w:sz w:val="24"/>
          <w:u w:val="single"/>
          <w:lang w:eastAsia="zh-Hans"/>
        </w:rPr>
        <w:t>成都七中初中学校</w:t>
      </w:r>
      <w:r>
        <w:rPr>
          <w:rFonts w:hint="eastAsia" w:ascii="宋体" w:hAnsi="宋体" w:cs="宋体"/>
          <w:sz w:val="24"/>
          <w:u w:val="single"/>
        </w:rPr>
        <w:t>直录播教室设备采购项目</w:t>
      </w:r>
      <w:r>
        <w:rPr>
          <w:rFonts w:hint="eastAsia" w:ascii="宋体" w:hAnsi="宋体" w:cs="宋体"/>
          <w:sz w:val="24"/>
          <w:u w:val="none"/>
        </w:rPr>
        <w:t>比选采购项目的</w:t>
      </w:r>
      <w:r>
        <w:rPr>
          <w:rFonts w:hint="eastAsia" w:ascii="宋体" w:hAnsi="宋体" w:cs="宋体"/>
          <w:sz w:val="24"/>
        </w:rPr>
        <w:t>比选。在审查和全面理解了所提供的比选文件后，以下签字人在此作为比选申请人代表参加本次比选。</w:t>
      </w:r>
    </w:p>
    <w:p>
      <w:pPr>
        <w:spacing w:line="560" w:lineRule="exact"/>
        <w:rPr>
          <w:rFonts w:ascii="宋体" w:hAnsi="宋体" w:cs="宋体"/>
          <w:sz w:val="24"/>
        </w:rPr>
      </w:pPr>
      <w:r>
        <w:rPr>
          <w:rFonts w:hint="eastAsia" w:ascii="宋体" w:hAnsi="宋体" w:cs="宋体"/>
          <w:sz w:val="24"/>
        </w:rPr>
        <w:t xml:space="preserve">   二、我单位对提交的比选申请书负责。贵方或授权代表可对我单位进行查询或调查，以证实提交的声明、文件和资料的真实性。</w:t>
      </w:r>
    </w:p>
    <w:p>
      <w:pPr>
        <w:spacing w:line="560" w:lineRule="exact"/>
        <w:ind w:firstLine="432" w:firstLineChars="180"/>
        <w:rPr>
          <w:rFonts w:ascii="宋体" w:hAnsi="宋体" w:cs="宋体"/>
          <w:sz w:val="24"/>
        </w:rPr>
      </w:pPr>
      <w:r>
        <w:rPr>
          <w:rFonts w:hint="eastAsia" w:ascii="宋体" w:hAnsi="宋体" w:cs="宋体"/>
          <w:sz w:val="24"/>
        </w:rPr>
        <w:t>三、我单位完全理解比选人因法律和政策原因取消比选以及拒绝所有的比选申请，并对此类任何行动不承担任何责任。</w:t>
      </w:r>
    </w:p>
    <w:p>
      <w:pPr>
        <w:spacing w:line="560" w:lineRule="exact"/>
        <w:ind w:firstLine="432" w:firstLineChars="180"/>
        <w:rPr>
          <w:rFonts w:ascii="宋体" w:hAnsi="宋体" w:cs="宋体"/>
          <w:sz w:val="24"/>
        </w:rPr>
      </w:pPr>
      <w:r>
        <w:rPr>
          <w:rFonts w:hint="eastAsia" w:ascii="宋体" w:hAnsi="宋体" w:cs="宋体"/>
          <w:sz w:val="24"/>
        </w:rPr>
        <w:t>四、如我单位中选，我单位承诺按比选文件要求签订合同，并将严格按照有关法律法规等相关政策开展工作。</w:t>
      </w:r>
    </w:p>
    <w:p>
      <w:pPr>
        <w:spacing w:line="560" w:lineRule="exact"/>
        <w:ind w:firstLine="432" w:firstLineChars="180"/>
        <w:rPr>
          <w:rFonts w:ascii="宋体" w:hAnsi="宋体" w:cs="宋体"/>
          <w:sz w:val="24"/>
        </w:rPr>
      </w:pPr>
      <w:r>
        <w:rPr>
          <w:rFonts w:hint="eastAsia" w:ascii="宋体" w:hAnsi="宋体" w:cs="宋体"/>
          <w:sz w:val="24"/>
        </w:rPr>
        <w:t>五、比选申请书有效期为递交比选申请书截止日期后120个日历日内有效。</w:t>
      </w:r>
    </w:p>
    <w:p>
      <w:pPr>
        <w:spacing w:line="560" w:lineRule="exact"/>
        <w:ind w:firstLine="432" w:firstLineChars="180"/>
        <w:rPr>
          <w:rFonts w:ascii="宋体" w:hAnsi="宋体" w:cs="宋体"/>
          <w:sz w:val="24"/>
        </w:rPr>
      </w:pPr>
      <w:r>
        <w:rPr>
          <w:rFonts w:hint="eastAsia" w:ascii="宋体" w:hAnsi="宋体" w:cs="宋体"/>
          <w:sz w:val="24"/>
        </w:rPr>
        <w:t>六、需要核实的资料，贵方或授权代表可以向下列人员查询：</w:t>
      </w:r>
    </w:p>
    <w:p>
      <w:pPr>
        <w:tabs>
          <w:tab w:val="left" w:pos="5400"/>
        </w:tabs>
        <w:spacing w:line="560" w:lineRule="exact"/>
        <w:ind w:firstLine="480" w:firstLineChars="200"/>
        <w:rPr>
          <w:rFonts w:ascii="宋体" w:hAnsi="宋体" w:cs="宋体"/>
          <w:sz w:val="24"/>
          <w:u w:val="single"/>
        </w:rPr>
      </w:pPr>
      <w:r>
        <w:rPr>
          <w:rFonts w:hint="eastAsia" w:ascii="宋体" w:hAnsi="宋体" w:cs="宋体"/>
          <w:sz w:val="24"/>
        </w:rPr>
        <w:t>联系人1：</w:t>
      </w:r>
      <w:r>
        <w:rPr>
          <w:rFonts w:hint="eastAsia" w:ascii="宋体" w:hAnsi="宋体" w:cs="宋体"/>
          <w:sz w:val="24"/>
          <w:u w:val="single"/>
        </w:rPr>
        <w:t xml:space="preserve">                </w:t>
      </w:r>
      <w:r>
        <w:rPr>
          <w:rFonts w:hint="eastAsia" w:ascii="宋体" w:hAnsi="宋体" w:cs="宋体"/>
          <w:sz w:val="24"/>
        </w:rPr>
        <w:tab/>
      </w:r>
      <w:r>
        <w:rPr>
          <w:rFonts w:hint="eastAsia" w:ascii="宋体" w:hAnsi="宋体" w:cs="宋体"/>
          <w:sz w:val="24"/>
        </w:rPr>
        <w:t>电话：</w:t>
      </w:r>
      <w:r>
        <w:rPr>
          <w:rFonts w:hint="eastAsia" w:ascii="宋体" w:hAnsi="宋体" w:cs="宋体"/>
          <w:sz w:val="24"/>
          <w:u w:val="single"/>
        </w:rPr>
        <w:t xml:space="preserve">              </w:t>
      </w:r>
    </w:p>
    <w:p>
      <w:pPr>
        <w:tabs>
          <w:tab w:val="left" w:pos="5400"/>
        </w:tabs>
        <w:spacing w:line="560" w:lineRule="exact"/>
        <w:ind w:firstLine="480" w:firstLineChars="200"/>
        <w:rPr>
          <w:rFonts w:ascii="宋体" w:hAnsi="宋体" w:cs="宋体"/>
          <w:sz w:val="24"/>
          <w:u w:val="single"/>
        </w:rPr>
      </w:pPr>
      <w:r>
        <w:rPr>
          <w:rFonts w:hint="eastAsia" w:ascii="宋体" w:hAnsi="宋体" w:cs="宋体"/>
          <w:sz w:val="24"/>
        </w:rPr>
        <w:t>联系人2：</w:t>
      </w:r>
      <w:r>
        <w:rPr>
          <w:rFonts w:hint="eastAsia" w:ascii="宋体" w:hAnsi="宋体" w:cs="宋体"/>
          <w:sz w:val="24"/>
          <w:u w:val="single"/>
        </w:rPr>
        <w:t xml:space="preserve">                </w:t>
      </w:r>
      <w:r>
        <w:rPr>
          <w:rFonts w:hint="eastAsia" w:ascii="宋体" w:hAnsi="宋体" w:cs="宋体"/>
          <w:sz w:val="24"/>
        </w:rPr>
        <w:tab/>
      </w:r>
      <w:r>
        <w:rPr>
          <w:rFonts w:hint="eastAsia" w:ascii="宋体" w:hAnsi="宋体" w:cs="宋体"/>
          <w:sz w:val="24"/>
        </w:rPr>
        <w:t>电话：</w:t>
      </w:r>
      <w:r>
        <w:rPr>
          <w:rFonts w:hint="eastAsia" w:ascii="宋体" w:hAnsi="宋体" w:cs="宋体"/>
          <w:sz w:val="24"/>
          <w:u w:val="single"/>
        </w:rPr>
        <w:t xml:space="preserve">   </w:t>
      </w:r>
    </w:p>
    <w:p>
      <w:pPr>
        <w:tabs>
          <w:tab w:val="left" w:pos="5400"/>
        </w:tabs>
        <w:spacing w:line="560" w:lineRule="exact"/>
        <w:ind w:firstLine="480" w:firstLineChars="200"/>
        <w:rPr>
          <w:rFonts w:ascii="宋体" w:hAnsi="宋体" w:cs="宋体"/>
          <w:sz w:val="24"/>
          <w:u w:val="single"/>
        </w:rPr>
      </w:pPr>
      <w:r>
        <w:rPr>
          <w:rFonts w:hint="eastAsia" w:ascii="宋体" w:hAnsi="宋体" w:cs="宋体"/>
          <w:sz w:val="24"/>
          <w:u w:val="single"/>
        </w:rPr>
        <w:t xml:space="preserve">           </w:t>
      </w:r>
    </w:p>
    <w:p>
      <w:pPr>
        <w:tabs>
          <w:tab w:val="left" w:pos="5400"/>
        </w:tabs>
        <w:spacing w:line="560" w:lineRule="exact"/>
        <w:ind w:firstLine="480" w:firstLineChars="200"/>
        <w:rPr>
          <w:rFonts w:ascii="宋体" w:hAnsi="宋体" w:cs="宋体"/>
          <w:sz w:val="24"/>
        </w:rPr>
      </w:pPr>
      <w:r>
        <w:rPr>
          <w:rFonts w:hint="eastAsia" w:ascii="宋体" w:hAnsi="宋体" w:cs="宋体"/>
          <w:sz w:val="24"/>
        </w:rPr>
        <w:t>比选申请人名称：</w:t>
      </w:r>
      <w:r>
        <w:rPr>
          <w:rFonts w:hint="eastAsia" w:ascii="宋体" w:hAnsi="宋体" w:cs="宋体"/>
          <w:sz w:val="24"/>
          <w:u w:val="single"/>
        </w:rPr>
        <w:t xml:space="preserve">                    </w:t>
      </w:r>
      <w:r>
        <w:rPr>
          <w:rFonts w:hint="eastAsia" w:ascii="宋体" w:hAnsi="宋体" w:cs="宋体"/>
          <w:sz w:val="24"/>
        </w:rPr>
        <w:t>（并加盖公章）</w:t>
      </w:r>
    </w:p>
    <w:p>
      <w:pPr>
        <w:tabs>
          <w:tab w:val="left" w:pos="5400"/>
        </w:tabs>
        <w:spacing w:line="560" w:lineRule="exact"/>
        <w:ind w:firstLine="480" w:firstLineChars="200"/>
        <w:rPr>
          <w:rFonts w:ascii="宋体" w:hAnsi="宋体" w:cs="宋体"/>
          <w:sz w:val="24"/>
          <w:u w:val="single"/>
        </w:rPr>
      </w:pPr>
      <w:r>
        <w:rPr>
          <w:rFonts w:hint="eastAsia" w:ascii="宋体" w:hAnsi="宋体" w:cs="宋体"/>
          <w:sz w:val="24"/>
        </w:rPr>
        <w:t>法定代表人或代理人：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（签字）</w:t>
      </w:r>
    </w:p>
    <w:p>
      <w:pPr>
        <w:adjustRightInd w:val="0"/>
        <w:snapToGrid w:val="0"/>
        <w:spacing w:before="156" w:beforeLines="50" w:line="560" w:lineRule="exact"/>
        <w:ind w:firstLine="480" w:firstLineChars="200"/>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年 </w:t>
      </w:r>
      <w:r>
        <w:rPr>
          <w:rFonts w:hint="eastAsia" w:ascii="宋体" w:hAnsi="宋体" w:cs="宋体"/>
          <w:sz w:val="24"/>
          <w:lang w:val="en-US" w:eastAsia="zh-CN"/>
        </w:rPr>
        <w:t xml:space="preserve"> </w:t>
      </w:r>
      <w:r>
        <w:rPr>
          <w:rFonts w:hint="eastAsia" w:ascii="宋体" w:hAnsi="宋体" w:cs="宋体"/>
          <w:sz w:val="24"/>
        </w:rPr>
        <w:t xml:space="preserve"> 月 </w:t>
      </w:r>
      <w:r>
        <w:rPr>
          <w:rFonts w:hint="eastAsia" w:ascii="宋体" w:hAnsi="宋体" w:cs="宋体"/>
          <w:sz w:val="24"/>
          <w:lang w:val="en-US" w:eastAsia="zh-CN"/>
        </w:rPr>
        <w:t xml:space="preserve">   </w:t>
      </w:r>
      <w:r>
        <w:rPr>
          <w:rFonts w:hint="eastAsia" w:ascii="宋体" w:hAnsi="宋体" w:cs="宋体"/>
          <w:sz w:val="24"/>
        </w:rPr>
        <w:t xml:space="preserve"> 日</w:t>
      </w:r>
      <w:bookmarkStart w:id="110" w:name="_Toc425509582"/>
    </w:p>
    <w:p>
      <w:pPr>
        <w:numPr>
          <w:ilvl w:val="0"/>
          <w:numId w:val="5"/>
        </w:numPr>
        <w:adjustRightInd w:val="0"/>
        <w:snapToGrid w:val="0"/>
        <w:spacing w:before="156" w:beforeLines="50" w:line="360" w:lineRule="auto"/>
        <w:rPr>
          <w:rFonts w:ascii="宋体" w:hAnsi="宋体" w:cs="宋体"/>
          <w:b/>
          <w:bCs/>
          <w:sz w:val="30"/>
          <w:szCs w:val="30"/>
        </w:rPr>
      </w:pPr>
      <w:r>
        <w:rPr>
          <w:rFonts w:hint="eastAsia" w:ascii="宋体" w:hAnsi="宋体" w:cs="宋体"/>
          <w:b/>
          <w:bCs/>
          <w:sz w:val="30"/>
          <w:szCs w:val="30"/>
        </w:rPr>
        <w:br w:type="page"/>
      </w:r>
      <w:r>
        <w:rPr>
          <w:rFonts w:hint="eastAsia" w:ascii="宋体" w:hAnsi="宋体" w:cs="宋体"/>
          <w:b/>
          <w:bCs/>
          <w:sz w:val="30"/>
          <w:szCs w:val="30"/>
        </w:rPr>
        <w:t>报价表</w:t>
      </w:r>
      <w:bookmarkEnd w:id="110"/>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7"/>
          </w:tcPr>
          <w:p>
            <w:pPr>
              <w:pStyle w:val="16"/>
              <w:rPr>
                <w:rFonts w:hint="default" w:ascii="宋体" w:hAnsi="宋体" w:eastAsia="宋体" w:cs="宋体"/>
                <w:b/>
                <w:bCs/>
                <w:sz w:val="30"/>
                <w:szCs w:val="30"/>
                <w:vertAlign w:val="baseline"/>
                <w:lang w:val="en-US" w:eastAsia="zh-CN"/>
              </w:rPr>
            </w:pPr>
            <w:r>
              <w:rPr>
                <w:rFonts w:hint="eastAsia" w:ascii="宋体" w:hAnsi="宋体" w:cs="宋体"/>
                <w:b/>
                <w:bCs/>
                <w:sz w:val="30"/>
                <w:szCs w:val="30"/>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7"/>
          </w:tcPr>
          <w:p>
            <w:pPr>
              <w:pStyle w:val="16"/>
              <w:rPr>
                <w:rFonts w:hint="default" w:ascii="宋体" w:hAnsi="宋体" w:eastAsia="宋体" w:cs="宋体"/>
                <w:b/>
                <w:bCs/>
                <w:sz w:val="30"/>
                <w:szCs w:val="30"/>
                <w:vertAlign w:val="baseline"/>
                <w:lang w:val="en-US" w:eastAsia="zh-CN"/>
              </w:rPr>
            </w:pPr>
            <w:r>
              <w:rPr>
                <w:rFonts w:hint="eastAsia" w:ascii="宋体" w:hAnsi="宋体" w:cs="宋体"/>
                <w:b/>
                <w:bCs/>
                <w:sz w:val="30"/>
                <w:szCs w:val="30"/>
                <w:vertAlign w:val="baseline"/>
                <w:lang w:val="en-US" w:eastAsia="zh-CN"/>
              </w:rPr>
              <w:t>比选申请人名称：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rPr>
                <w:rFonts w:hint="eastAsia" w:ascii="宋体" w:hAnsi="宋体" w:eastAsia="宋体" w:cs="宋体"/>
                <w:b/>
                <w:bCs/>
                <w:sz w:val="30"/>
                <w:szCs w:val="30"/>
                <w:vertAlign w:val="baseline"/>
                <w:lang w:val="en-US" w:eastAsia="zh-CN"/>
              </w:rPr>
            </w:pPr>
            <w:r>
              <w:rPr>
                <w:rFonts w:hint="eastAsia" w:ascii="宋体" w:hAnsi="宋体" w:cs="宋体"/>
                <w:b/>
                <w:bCs/>
                <w:sz w:val="30"/>
                <w:szCs w:val="30"/>
                <w:vertAlign w:val="baseline"/>
                <w:lang w:val="en-US" w:eastAsia="zh-CN"/>
              </w:rPr>
              <w:t>序号</w:t>
            </w:r>
          </w:p>
        </w:tc>
        <w:tc>
          <w:tcPr>
            <w:tcW w:w="1218" w:type="dxa"/>
          </w:tcPr>
          <w:p>
            <w:pPr>
              <w:pStyle w:val="16"/>
              <w:rPr>
                <w:rFonts w:hint="eastAsia" w:ascii="宋体" w:hAnsi="宋体" w:eastAsia="宋体" w:cs="宋体"/>
                <w:b/>
                <w:bCs/>
                <w:sz w:val="30"/>
                <w:szCs w:val="30"/>
                <w:vertAlign w:val="baseline"/>
                <w:lang w:val="en-US" w:eastAsia="zh-CN"/>
              </w:rPr>
            </w:pPr>
            <w:r>
              <w:rPr>
                <w:rFonts w:hint="eastAsia" w:ascii="宋体" w:hAnsi="宋体" w:cs="宋体"/>
                <w:b/>
                <w:bCs/>
                <w:sz w:val="30"/>
                <w:szCs w:val="30"/>
                <w:vertAlign w:val="baseline"/>
                <w:lang w:val="en-US" w:eastAsia="zh-CN"/>
              </w:rPr>
              <w:t>名称</w:t>
            </w:r>
          </w:p>
        </w:tc>
        <w:tc>
          <w:tcPr>
            <w:tcW w:w="1218" w:type="dxa"/>
          </w:tcPr>
          <w:p>
            <w:pPr>
              <w:pStyle w:val="16"/>
              <w:rPr>
                <w:rFonts w:hint="eastAsia" w:ascii="宋体" w:hAnsi="宋体" w:eastAsia="宋体" w:cs="宋体"/>
                <w:b/>
                <w:bCs/>
                <w:sz w:val="30"/>
                <w:szCs w:val="30"/>
                <w:vertAlign w:val="baseline"/>
                <w:lang w:val="en-US" w:eastAsia="zh-CN"/>
              </w:rPr>
            </w:pPr>
            <w:r>
              <w:rPr>
                <w:rFonts w:hint="eastAsia" w:ascii="宋体" w:hAnsi="宋体" w:cs="宋体"/>
                <w:b/>
                <w:bCs/>
                <w:sz w:val="30"/>
                <w:szCs w:val="30"/>
                <w:vertAlign w:val="baseline"/>
                <w:lang w:val="en-US" w:eastAsia="zh-CN"/>
              </w:rPr>
              <w:t>品牌</w:t>
            </w:r>
          </w:p>
        </w:tc>
        <w:tc>
          <w:tcPr>
            <w:tcW w:w="1218" w:type="dxa"/>
          </w:tcPr>
          <w:p>
            <w:pPr>
              <w:pStyle w:val="16"/>
              <w:rPr>
                <w:rFonts w:hint="eastAsia" w:ascii="宋体" w:hAnsi="宋体" w:eastAsia="宋体" w:cs="宋体"/>
                <w:b/>
                <w:bCs/>
                <w:sz w:val="30"/>
                <w:szCs w:val="30"/>
                <w:vertAlign w:val="baseline"/>
                <w:lang w:val="en-US" w:eastAsia="zh-CN"/>
              </w:rPr>
            </w:pPr>
            <w:r>
              <w:rPr>
                <w:rFonts w:hint="eastAsia" w:ascii="宋体" w:hAnsi="宋体" w:cs="宋体"/>
                <w:b/>
                <w:bCs/>
                <w:sz w:val="30"/>
                <w:szCs w:val="30"/>
                <w:vertAlign w:val="baseline"/>
                <w:lang w:val="en-US" w:eastAsia="zh-CN"/>
              </w:rPr>
              <w:t>单位</w:t>
            </w:r>
          </w:p>
        </w:tc>
        <w:tc>
          <w:tcPr>
            <w:tcW w:w="1218" w:type="dxa"/>
          </w:tcPr>
          <w:p>
            <w:pPr>
              <w:pStyle w:val="16"/>
              <w:rPr>
                <w:rFonts w:hint="eastAsia" w:ascii="宋体" w:hAnsi="宋体" w:eastAsia="宋体" w:cs="宋体"/>
                <w:b/>
                <w:bCs/>
                <w:sz w:val="30"/>
                <w:szCs w:val="30"/>
                <w:vertAlign w:val="baseline"/>
                <w:lang w:val="en-US" w:eastAsia="zh-CN"/>
              </w:rPr>
            </w:pPr>
            <w:r>
              <w:rPr>
                <w:rFonts w:hint="eastAsia" w:ascii="宋体" w:hAnsi="宋体" w:cs="宋体"/>
                <w:b/>
                <w:bCs/>
                <w:sz w:val="30"/>
                <w:szCs w:val="30"/>
                <w:vertAlign w:val="baseline"/>
                <w:lang w:val="en-US" w:eastAsia="zh-CN"/>
              </w:rPr>
              <w:t>数量</w:t>
            </w:r>
          </w:p>
        </w:tc>
        <w:tc>
          <w:tcPr>
            <w:tcW w:w="1219" w:type="dxa"/>
          </w:tcPr>
          <w:p>
            <w:pPr>
              <w:pStyle w:val="16"/>
              <w:rPr>
                <w:rFonts w:hint="eastAsia" w:ascii="宋体" w:hAnsi="宋体" w:eastAsia="宋体" w:cs="宋体"/>
                <w:b/>
                <w:bCs/>
                <w:sz w:val="30"/>
                <w:szCs w:val="30"/>
                <w:vertAlign w:val="baseline"/>
                <w:lang w:val="en-US" w:eastAsia="zh-CN"/>
              </w:rPr>
            </w:pPr>
            <w:r>
              <w:rPr>
                <w:rFonts w:hint="eastAsia" w:ascii="宋体" w:hAnsi="宋体" w:cs="宋体"/>
                <w:b/>
                <w:bCs/>
                <w:sz w:val="30"/>
                <w:szCs w:val="30"/>
                <w:vertAlign w:val="baseline"/>
                <w:lang w:val="en-US" w:eastAsia="zh-CN"/>
              </w:rPr>
              <w:t>单价</w:t>
            </w:r>
          </w:p>
        </w:tc>
        <w:tc>
          <w:tcPr>
            <w:tcW w:w="1219" w:type="dxa"/>
          </w:tcPr>
          <w:p>
            <w:pPr>
              <w:pStyle w:val="16"/>
              <w:rPr>
                <w:rFonts w:hint="eastAsia" w:ascii="宋体" w:hAnsi="宋体" w:eastAsia="宋体" w:cs="宋体"/>
                <w:b/>
                <w:bCs/>
                <w:sz w:val="30"/>
                <w:szCs w:val="30"/>
                <w:vertAlign w:val="baseline"/>
                <w:lang w:val="en-US" w:eastAsia="zh-CN"/>
              </w:rPr>
            </w:pPr>
            <w:r>
              <w:rPr>
                <w:rFonts w:hint="eastAsia" w:ascii="宋体" w:hAnsi="宋体" w:cs="宋体"/>
                <w:b/>
                <w:bCs/>
                <w:sz w:val="30"/>
                <w:szCs w:val="30"/>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1218" w:type="dxa"/>
          </w:tcPr>
          <w:p>
            <w:pPr>
              <w:pStyle w:val="16"/>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1</w:t>
            </w:r>
          </w:p>
        </w:tc>
        <w:tc>
          <w:tcPr>
            <w:tcW w:w="1218" w:type="dxa"/>
            <w:vAlign w:val="center"/>
          </w:tcPr>
          <w:p>
            <w:pPr>
              <w:keepNext w:val="0"/>
              <w:keepLines w:val="0"/>
              <w:widowControl/>
              <w:suppressLineNumbers w:val="0"/>
              <w:jc w:val="center"/>
              <w:textAlignment w:val="center"/>
              <w:rPr>
                <w:rFonts w:ascii="宋体" w:hAnsi="宋体" w:cs="宋体"/>
                <w:b/>
                <w:bCs/>
                <w:sz w:val="30"/>
                <w:szCs w:val="30"/>
                <w:vertAlign w:val="baseline"/>
              </w:rPr>
            </w:pPr>
            <w:r>
              <w:rPr>
                <w:rFonts w:hint="eastAsia" w:ascii="宋体" w:hAnsi="宋体" w:eastAsia="宋体" w:cs="宋体"/>
                <w:i w:val="0"/>
                <w:iCs w:val="0"/>
                <w:color w:val="000000"/>
                <w:kern w:val="0"/>
                <w:sz w:val="22"/>
                <w:szCs w:val="22"/>
                <w:u w:val="none"/>
                <w:lang w:val="en-US" w:eastAsia="zh-CN" w:bidi="ar"/>
              </w:rPr>
              <w:t>录播工作站</w:t>
            </w:r>
          </w:p>
        </w:tc>
        <w:tc>
          <w:tcPr>
            <w:tcW w:w="1218" w:type="dxa"/>
          </w:tcPr>
          <w:p>
            <w:pPr>
              <w:pStyle w:val="16"/>
              <w:rPr>
                <w:rFonts w:hint="default" w:ascii="宋体" w:hAnsi="宋体" w:eastAsia="宋体" w:cs="宋体"/>
                <w:b/>
                <w:bCs/>
                <w:sz w:val="30"/>
                <w:szCs w:val="30"/>
                <w:vertAlign w:val="baseline"/>
                <w:lang w:val="en-US" w:eastAsia="zh-CN"/>
              </w:rPr>
            </w:pPr>
          </w:p>
        </w:tc>
        <w:tc>
          <w:tcPr>
            <w:tcW w:w="1218" w:type="dxa"/>
          </w:tcPr>
          <w:p>
            <w:pPr>
              <w:pStyle w:val="16"/>
              <w:rPr>
                <w:rFonts w:hint="eastAsia" w:ascii="宋体" w:hAnsi="宋体" w:cs="宋体"/>
                <w:b w:val="0"/>
                <w:bCs w:val="0"/>
                <w:sz w:val="20"/>
                <w:szCs w:val="20"/>
                <w:vertAlign w:val="baseline"/>
                <w:lang w:val="en-US" w:eastAsia="zh-CN"/>
              </w:rPr>
            </w:pPr>
          </w:p>
        </w:tc>
        <w:tc>
          <w:tcPr>
            <w:tcW w:w="1218" w:type="dxa"/>
          </w:tcPr>
          <w:p>
            <w:pPr>
              <w:pStyle w:val="16"/>
              <w:rPr>
                <w:rFonts w:hint="default" w:ascii="宋体" w:hAnsi="宋体" w:cs="宋体"/>
                <w:b w:val="0"/>
                <w:bCs w:val="0"/>
                <w:sz w:val="20"/>
                <w:szCs w:val="20"/>
                <w:vertAlign w:val="baseline"/>
                <w:lang w:val="en-US" w:eastAsia="zh-CN"/>
              </w:rPr>
            </w:pPr>
          </w:p>
        </w:tc>
        <w:tc>
          <w:tcPr>
            <w:tcW w:w="1219" w:type="dxa"/>
          </w:tcPr>
          <w:p>
            <w:pPr>
              <w:pStyle w:val="16"/>
              <w:rPr>
                <w:rFonts w:hint="default" w:ascii="宋体" w:hAnsi="宋体" w:cs="宋体"/>
                <w:b w:val="0"/>
                <w:bCs w:val="0"/>
                <w:sz w:val="20"/>
                <w:szCs w:val="20"/>
                <w:vertAlign w:val="baseline"/>
                <w:lang w:val="en-US" w:eastAsia="zh-CN"/>
              </w:rPr>
            </w:pPr>
          </w:p>
        </w:tc>
        <w:tc>
          <w:tcPr>
            <w:tcW w:w="1219" w:type="dxa"/>
          </w:tcPr>
          <w:p>
            <w:pPr>
              <w:pStyle w:val="16"/>
              <w:rPr>
                <w:rFonts w:hint="default" w:ascii="宋体" w:hAnsi="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2</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高清录播系统软件</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default" w:ascii="宋体" w:hAnsi="宋体" w:cs="宋体"/>
                <w:b/>
                <w:bCs/>
                <w:sz w:val="24"/>
                <w:szCs w:val="24"/>
                <w:vertAlign w:val="baseline"/>
                <w:lang w:val="en-US" w:eastAsia="zh-CN"/>
              </w:rPr>
            </w:pPr>
          </w:p>
        </w:tc>
        <w:tc>
          <w:tcPr>
            <w:tcW w:w="1218"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3</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在线互动课堂</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4</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高清摄像机</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5</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跟踪主机</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6</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空间网格自动跟踪系统</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7</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图像探测器（教师）</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8</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图像探测器（学生）</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9</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图像定位系统</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10</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导播控制台</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11</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智能导播系统</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c>
          <w:tcPr>
            <w:tcW w:w="1219" w:type="dxa"/>
          </w:tcPr>
          <w:p>
            <w:pPr>
              <w:pStyle w:val="16"/>
              <w:jc w:val="center"/>
              <w:rPr>
                <w:rFonts w:hint="default"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12</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吊装话筒</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13</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音频处理器</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14</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双通道数字功放</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15</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线阵列音箱</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16</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嵌入式网络中控</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17</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网络中控系统软件</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18</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电源时序控制器</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19</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 机柜</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16"/>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20</w:t>
            </w:r>
          </w:p>
        </w:tc>
        <w:tc>
          <w:tcPr>
            <w:tcW w:w="1218" w:type="dxa"/>
            <w:vAlign w:val="center"/>
          </w:tcPr>
          <w:p>
            <w:pPr>
              <w:keepNext w:val="0"/>
              <w:keepLines w:val="0"/>
              <w:widowControl/>
              <w:suppressLineNumbers w:val="0"/>
              <w:jc w:val="center"/>
              <w:textAlignment w:val="center"/>
              <w:rPr>
                <w:rFonts w:hint="eastAsia" w:ascii="宋体" w:hAnsi="宋体" w:cs="宋体"/>
                <w:b/>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平台系统</w:t>
            </w: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8"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c>
          <w:tcPr>
            <w:tcW w:w="1219" w:type="dxa"/>
          </w:tcPr>
          <w:p>
            <w:pPr>
              <w:pStyle w:val="16"/>
              <w:jc w:val="center"/>
              <w:rPr>
                <w:rFonts w:hint="eastAsia" w:ascii="宋体" w:hAnsi="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7"/>
          </w:tcPr>
          <w:p>
            <w:pPr>
              <w:pStyle w:val="16"/>
              <w:rPr>
                <w:rFonts w:hint="default" w:ascii="宋体" w:hAnsi="宋体" w:eastAsia="宋体" w:cs="宋体"/>
                <w:b/>
                <w:bCs/>
                <w:sz w:val="30"/>
                <w:szCs w:val="30"/>
                <w:vertAlign w:val="baseline"/>
                <w:lang w:val="en-US" w:eastAsia="zh-CN"/>
              </w:rPr>
            </w:pPr>
            <w:r>
              <w:rPr>
                <w:rFonts w:hint="eastAsia" w:ascii="宋体" w:hAnsi="宋体" w:cs="宋体"/>
                <w:b/>
                <w:bCs/>
                <w:sz w:val="30"/>
                <w:szCs w:val="30"/>
                <w:vertAlign w:val="baseline"/>
                <w:lang w:val="en-US" w:eastAsia="zh-CN"/>
              </w:rPr>
              <w:t xml:space="preserve">比选报价：（大写：）（小写：）       </w:t>
            </w:r>
          </w:p>
        </w:tc>
      </w:tr>
    </w:tbl>
    <w:p>
      <w:pPr>
        <w:pStyle w:val="16"/>
        <w:rPr>
          <w:rFonts w:ascii="宋体" w:hAnsi="宋体" w:cs="宋体"/>
          <w:b/>
          <w:bCs/>
          <w:sz w:val="30"/>
          <w:szCs w:val="30"/>
        </w:rPr>
      </w:pPr>
    </w:p>
    <w:p>
      <w:pPr>
        <w:spacing w:line="400" w:lineRule="exact"/>
        <w:rPr>
          <w:rFonts w:ascii="宋体" w:hAnsi="宋体" w:cs="宋体"/>
          <w:sz w:val="24"/>
        </w:rPr>
      </w:pPr>
    </w:p>
    <w:p>
      <w:pPr>
        <w:spacing w:line="400" w:lineRule="exact"/>
        <w:rPr>
          <w:rFonts w:ascii="宋体" w:hAnsi="宋体" w:cs="宋体"/>
          <w:sz w:val="24"/>
        </w:rPr>
      </w:pPr>
    </w:p>
    <w:p>
      <w:pPr>
        <w:snapToGrid w:val="0"/>
        <w:spacing w:line="360" w:lineRule="auto"/>
        <w:rPr>
          <w:rFonts w:ascii="宋体" w:hAnsi="宋体" w:cs="宋体"/>
          <w:snapToGrid w:val="0"/>
          <w:sz w:val="24"/>
        </w:rPr>
      </w:pPr>
      <w:r>
        <w:rPr>
          <w:rFonts w:hint="eastAsia" w:ascii="宋体" w:hAnsi="宋体" w:cs="宋体"/>
          <w:snapToGrid w:val="0"/>
          <w:sz w:val="24"/>
        </w:rPr>
        <w:t>注：</w:t>
      </w:r>
    </w:p>
    <w:p>
      <w:pPr>
        <w:snapToGrid w:val="0"/>
        <w:spacing w:line="360" w:lineRule="auto"/>
        <w:ind w:firstLine="480" w:firstLineChars="200"/>
        <w:rPr>
          <w:rFonts w:ascii="宋体" w:hAnsi="宋体" w:cs="宋体"/>
          <w:snapToGrid w:val="0"/>
          <w:sz w:val="24"/>
        </w:rPr>
      </w:pPr>
      <w:r>
        <w:rPr>
          <w:rFonts w:hint="eastAsia" w:ascii="宋体" w:hAnsi="宋体" w:cs="宋体"/>
          <w:snapToGrid w:val="0"/>
          <w:sz w:val="24"/>
        </w:rPr>
        <w:t>1.比选报价应为包括比选文件相应规定的全部内容的报价；</w:t>
      </w:r>
    </w:p>
    <w:p>
      <w:pPr>
        <w:snapToGrid w:val="0"/>
        <w:spacing w:line="360" w:lineRule="auto"/>
        <w:ind w:firstLine="480" w:firstLineChars="200"/>
        <w:rPr>
          <w:rFonts w:ascii="宋体" w:hAnsi="宋体" w:cs="宋体"/>
          <w:snapToGrid w:val="0"/>
          <w:sz w:val="24"/>
        </w:rPr>
      </w:pPr>
      <w:r>
        <w:rPr>
          <w:rFonts w:hint="eastAsia" w:ascii="宋体" w:hAnsi="宋体" w:cs="宋体"/>
          <w:snapToGrid w:val="0"/>
          <w:sz w:val="24"/>
        </w:rPr>
        <w:t>2.比选报价应为含税价。</w:t>
      </w:r>
    </w:p>
    <w:p>
      <w:pPr>
        <w:snapToGrid w:val="0"/>
        <w:spacing w:line="360" w:lineRule="auto"/>
        <w:rPr>
          <w:rFonts w:ascii="宋体" w:hAnsi="宋体" w:cs="宋体"/>
          <w:snapToGrid w:val="0"/>
          <w:sz w:val="24"/>
        </w:rPr>
      </w:pPr>
    </w:p>
    <w:p>
      <w:pPr>
        <w:snapToGrid w:val="0"/>
        <w:rPr>
          <w:rFonts w:ascii="宋体" w:hAnsi="宋体" w:cs="宋体"/>
          <w:snapToGrid w:val="0"/>
          <w:sz w:val="24"/>
        </w:rPr>
      </w:pPr>
    </w:p>
    <w:p>
      <w:pPr>
        <w:snapToGrid w:val="0"/>
        <w:rPr>
          <w:rFonts w:ascii="宋体" w:hAnsi="宋体" w:cs="宋体"/>
          <w:snapToGrid w:val="0"/>
          <w:sz w:val="24"/>
        </w:rPr>
      </w:pPr>
    </w:p>
    <w:p>
      <w:pPr>
        <w:snapToGrid w:val="0"/>
        <w:rPr>
          <w:rFonts w:ascii="宋体" w:hAnsi="宋体" w:cs="宋体"/>
          <w:snapToGrid w:val="0"/>
          <w:sz w:val="24"/>
        </w:rPr>
      </w:pPr>
    </w:p>
    <w:p>
      <w:pPr>
        <w:snapToGrid w:val="0"/>
        <w:ind w:firstLine="480" w:firstLineChars="200"/>
        <w:rPr>
          <w:rFonts w:ascii="宋体" w:hAnsi="宋体" w:cs="宋体"/>
          <w:snapToGrid w:val="0"/>
          <w:sz w:val="24"/>
        </w:rPr>
      </w:pPr>
    </w:p>
    <w:p>
      <w:pPr>
        <w:spacing w:line="560" w:lineRule="exact"/>
        <w:ind w:firstLine="480" w:firstLineChars="200"/>
        <w:rPr>
          <w:rFonts w:ascii="宋体" w:hAnsi="宋体" w:cs="宋体"/>
          <w:sz w:val="24"/>
        </w:rPr>
      </w:pPr>
      <w:r>
        <w:rPr>
          <w:rFonts w:hint="eastAsia" w:ascii="宋体" w:hAnsi="宋体" w:cs="宋体"/>
          <w:sz w:val="24"/>
        </w:rPr>
        <w:t>比选申请人名称（公章）：</w:t>
      </w:r>
      <w:r>
        <w:rPr>
          <w:rFonts w:hint="eastAsia" w:ascii="宋体" w:hAnsi="宋体" w:cs="宋体"/>
          <w:sz w:val="24"/>
          <w:lang w:val="en-US" w:eastAsia="zh-CN"/>
        </w:rPr>
        <w:t xml:space="preserve"> </w:t>
      </w:r>
      <w:r>
        <w:rPr>
          <w:rFonts w:hint="eastAsia" w:ascii="宋体" w:hAnsi="宋体" w:cs="宋体"/>
          <w:sz w:val="24"/>
          <w:u w:val="single"/>
        </w:rPr>
        <w:t xml:space="preserve"> </w:t>
      </w:r>
    </w:p>
    <w:p>
      <w:pPr>
        <w:spacing w:line="560" w:lineRule="exact"/>
        <w:ind w:firstLine="480" w:firstLineChars="200"/>
        <w:rPr>
          <w:rFonts w:ascii="宋体" w:hAnsi="宋体" w:cs="宋体"/>
          <w:sz w:val="24"/>
        </w:rPr>
      </w:pPr>
      <w:r>
        <w:rPr>
          <w:rFonts w:hint="eastAsia" w:ascii="宋体" w:hAnsi="宋体" w:cs="宋体"/>
          <w:sz w:val="24"/>
        </w:rPr>
        <w:t>法定代表人或授权代表（签字）：</w:t>
      </w:r>
      <w:bookmarkStart w:id="111" w:name="_Toc398542700"/>
      <w:bookmarkStart w:id="112" w:name="_Toc425509583"/>
    </w:p>
    <w:p>
      <w:pPr>
        <w:widowControl/>
        <w:adjustRightInd w:val="0"/>
        <w:snapToGrid w:val="0"/>
        <w:spacing w:line="560" w:lineRule="exact"/>
        <w:ind w:firstLine="460" w:firstLineChars="192"/>
        <w:jc w:val="left"/>
        <w:rPr>
          <w:rFonts w:ascii="宋体" w:hAnsi="宋体" w:cs="宋体"/>
          <w:sz w:val="24"/>
        </w:rPr>
      </w:pPr>
      <w:r>
        <w:rPr>
          <w:rFonts w:hint="eastAsia" w:ascii="宋体" w:hAnsi="宋体" w:cs="宋体"/>
          <w:sz w:val="24"/>
        </w:rPr>
        <w:t xml:space="preserve">日期：    </w:t>
      </w:r>
      <w:r>
        <w:rPr>
          <w:rFonts w:hint="eastAsia" w:ascii="宋体" w:hAnsi="宋体" w:cs="宋体"/>
          <w:sz w:val="24"/>
          <w:lang w:val="en-US" w:eastAsia="zh-CN"/>
        </w:rPr>
        <w:t xml:space="preserve"> </w:t>
      </w:r>
      <w:r>
        <w:rPr>
          <w:rFonts w:hint="eastAsia" w:ascii="宋体" w:hAnsi="宋体" w:cs="宋体"/>
          <w:sz w:val="24"/>
        </w:rPr>
        <w:t xml:space="preserve"> 年 </w:t>
      </w:r>
      <w:r>
        <w:rPr>
          <w:rFonts w:hint="eastAsia" w:ascii="宋体" w:hAnsi="宋体" w:cs="宋体"/>
          <w:sz w:val="24"/>
          <w:lang w:val="en-US" w:eastAsia="zh-CN"/>
        </w:rPr>
        <w:t xml:space="preserve"> </w:t>
      </w:r>
      <w:r>
        <w:rPr>
          <w:rFonts w:hint="eastAsia" w:ascii="宋体" w:hAnsi="宋体" w:cs="宋体"/>
          <w:sz w:val="24"/>
        </w:rPr>
        <w:t xml:space="preserve"> 月 </w:t>
      </w:r>
      <w:r>
        <w:rPr>
          <w:rFonts w:hint="eastAsia" w:ascii="宋体" w:hAnsi="宋体" w:cs="宋体"/>
          <w:sz w:val="24"/>
          <w:lang w:val="en-US" w:eastAsia="zh-CN"/>
        </w:rPr>
        <w:t xml:space="preserve"> </w:t>
      </w:r>
      <w:r>
        <w:rPr>
          <w:rFonts w:hint="eastAsia" w:ascii="宋体" w:hAnsi="宋体" w:cs="宋体"/>
          <w:sz w:val="24"/>
        </w:rPr>
        <w:t xml:space="preserve"> 日</w:t>
      </w:r>
    </w:p>
    <w:p>
      <w:pPr>
        <w:spacing w:line="560" w:lineRule="exact"/>
        <w:ind w:firstLine="480" w:firstLineChars="200"/>
        <w:rPr>
          <w:rFonts w:ascii="宋体" w:hAnsi="宋体" w:cs="宋体"/>
          <w:sz w:val="24"/>
        </w:rPr>
        <w:sectPr>
          <w:footerReference r:id="rId9" w:type="default"/>
          <w:pgSz w:w="11906" w:h="16838"/>
          <w:pgMar w:top="907" w:right="1797" w:bottom="680" w:left="1797" w:header="851" w:footer="992" w:gutter="0"/>
          <w:cols w:space="720" w:num="1"/>
          <w:titlePg/>
          <w:docGrid w:type="lines" w:linePitch="312" w:charSpace="0"/>
        </w:sectPr>
      </w:pPr>
    </w:p>
    <w:p>
      <w:pPr>
        <w:numPr>
          <w:ilvl w:val="0"/>
          <w:numId w:val="5"/>
        </w:numPr>
        <w:adjustRightInd w:val="0"/>
        <w:snapToGrid w:val="0"/>
        <w:spacing w:before="156" w:beforeLines="50" w:line="360" w:lineRule="auto"/>
        <w:rPr>
          <w:rFonts w:ascii="宋体" w:hAnsi="宋体" w:cs="宋体"/>
          <w:b/>
          <w:bCs/>
          <w:sz w:val="30"/>
          <w:szCs w:val="30"/>
        </w:rPr>
      </w:pPr>
      <w:r>
        <w:rPr>
          <w:rFonts w:hint="eastAsia" w:ascii="宋体" w:hAnsi="宋体" w:cs="宋体"/>
          <w:b/>
          <w:bCs/>
          <w:sz w:val="30"/>
          <w:szCs w:val="30"/>
        </w:rPr>
        <w:t>分项报价表</w:t>
      </w:r>
      <w:bookmarkEnd w:id="111"/>
      <w:bookmarkEnd w:id="112"/>
    </w:p>
    <w:p>
      <w:pPr>
        <w:pStyle w:val="16"/>
        <w:rPr>
          <w:rFonts w:ascii="宋体" w:hAnsi="宋体" w:cs="宋体"/>
        </w:rPr>
      </w:pPr>
    </w:p>
    <w:p>
      <w:pPr>
        <w:spacing w:line="560" w:lineRule="exact"/>
        <w:ind w:firstLine="436" w:firstLineChars="182"/>
        <w:rPr>
          <w:rFonts w:ascii="宋体" w:hAnsi="宋体" w:cs="宋体"/>
          <w:sz w:val="24"/>
        </w:rPr>
      </w:pPr>
      <w:bookmarkStart w:id="113" w:name="_Toc425509585"/>
      <w:r>
        <w:rPr>
          <w:rFonts w:hint="eastAsia" w:ascii="宋体" w:hAnsi="宋体" w:cs="宋体"/>
          <w:sz w:val="24"/>
        </w:rPr>
        <w:t>采购项目名称：</w:t>
      </w:r>
    </w:p>
    <w:p>
      <w:pPr>
        <w:spacing w:line="560" w:lineRule="exact"/>
        <w:ind w:firstLine="436" w:firstLineChars="182"/>
        <w:rPr>
          <w:rFonts w:ascii="宋体" w:hAnsi="宋体" w:cs="宋体"/>
          <w:sz w:val="24"/>
        </w:rPr>
      </w:pPr>
    </w:p>
    <w:p>
      <w:pPr>
        <w:spacing w:line="560" w:lineRule="exact"/>
        <w:ind w:left="1215" w:leftChars="228" w:hanging="736" w:hangingChars="350"/>
        <w:rPr>
          <w:rFonts w:ascii="宋体" w:hAnsi="宋体" w:cs="宋体"/>
          <w:b/>
          <w:bCs/>
        </w:rPr>
      </w:pPr>
    </w:p>
    <w:p>
      <w:pPr>
        <w:spacing w:line="560" w:lineRule="exact"/>
        <w:ind w:left="1215" w:leftChars="228" w:hanging="736" w:hangingChars="350"/>
        <w:rPr>
          <w:rFonts w:ascii="宋体" w:hAnsi="宋体" w:cs="宋体"/>
          <w:b/>
          <w:bCs/>
        </w:rPr>
      </w:pPr>
      <w:r>
        <w:rPr>
          <w:rFonts w:hint="eastAsia" w:ascii="宋体" w:hAnsi="宋体" w:cs="宋体"/>
          <w:b/>
          <w:bCs/>
        </w:rPr>
        <w:t>供应商格式自拟</w:t>
      </w:r>
    </w:p>
    <w:p>
      <w:pPr>
        <w:spacing w:line="560" w:lineRule="exact"/>
        <w:ind w:firstLine="436" w:firstLineChars="182"/>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注：</w:t>
      </w:r>
    </w:p>
    <w:p>
      <w:pPr>
        <w:spacing w:line="560" w:lineRule="exact"/>
        <w:ind w:firstLine="480" w:firstLineChars="200"/>
        <w:rPr>
          <w:rFonts w:ascii="宋体" w:hAnsi="宋体" w:cs="宋体"/>
          <w:sz w:val="24"/>
        </w:rPr>
      </w:pPr>
      <w:r>
        <w:rPr>
          <w:rFonts w:hint="eastAsia" w:ascii="宋体" w:hAnsi="宋体" w:cs="宋体"/>
          <w:sz w:val="24"/>
        </w:rPr>
        <w:t>1.比选报价应是比选文件全部要求的最终报价，包括人工费、施工机械使用费、材料费、其他(运杂费、质检费、安装费、缺陷修复费、保险费，以及合同明示或暗示的风险、责任和义务等)、管理费、利润、暂列金等费用以及一切其它相关费用。</w:t>
      </w:r>
    </w:p>
    <w:p>
      <w:pPr>
        <w:spacing w:line="560" w:lineRule="exact"/>
        <w:ind w:firstLine="480" w:firstLineChars="200"/>
        <w:rPr>
          <w:rFonts w:ascii="宋体" w:hAnsi="宋体" w:cs="宋体"/>
        </w:rPr>
      </w:pPr>
      <w:r>
        <w:rPr>
          <w:rFonts w:hint="eastAsia" w:ascii="宋体" w:hAnsi="宋体" w:cs="宋体"/>
          <w:sz w:val="24"/>
        </w:rPr>
        <w:t>2.“分项报价”合计应当与“报价表”的比选报价相等。</w:t>
      </w: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供应商名称（公章）：</w:t>
      </w:r>
    </w:p>
    <w:p>
      <w:pPr>
        <w:spacing w:line="560" w:lineRule="exact"/>
        <w:rPr>
          <w:rFonts w:ascii="宋体" w:hAnsi="宋体" w:cs="宋体"/>
          <w:sz w:val="24"/>
        </w:rPr>
      </w:pPr>
      <w:r>
        <w:rPr>
          <w:rFonts w:hint="eastAsia" w:ascii="宋体" w:hAnsi="宋体" w:cs="宋体"/>
          <w:sz w:val="24"/>
        </w:rPr>
        <w:t>法定代表人或授权代表（签字或加盖个人名章）：</w:t>
      </w:r>
    </w:p>
    <w:p>
      <w:pPr>
        <w:spacing w:line="560" w:lineRule="exact"/>
        <w:rPr>
          <w:rFonts w:ascii="宋体" w:hAnsi="宋体" w:cs="宋体"/>
          <w:sz w:val="24"/>
        </w:rPr>
      </w:pPr>
      <w:r>
        <w:rPr>
          <w:rFonts w:hint="eastAsia" w:ascii="宋体" w:hAnsi="宋体" w:cs="宋体"/>
          <w:sz w:val="24"/>
        </w:rPr>
        <w:t xml:space="preserve">日  期: </w:t>
      </w:r>
    </w:p>
    <w:p>
      <w:pPr>
        <w:spacing w:line="560" w:lineRule="exact"/>
        <w:rPr>
          <w:rFonts w:ascii="宋体" w:hAnsi="宋体" w:cs="宋体"/>
        </w:rPr>
      </w:pPr>
    </w:p>
    <w:p>
      <w:pPr>
        <w:numPr>
          <w:ilvl w:val="0"/>
          <w:numId w:val="5"/>
        </w:numPr>
        <w:adjustRightInd w:val="0"/>
        <w:snapToGrid w:val="0"/>
        <w:spacing w:before="156" w:beforeLines="50" w:line="360" w:lineRule="auto"/>
        <w:rPr>
          <w:rFonts w:ascii="宋体" w:hAnsi="宋体" w:cs="宋体"/>
          <w:b/>
          <w:bCs/>
          <w:sz w:val="30"/>
          <w:szCs w:val="30"/>
        </w:rPr>
      </w:pPr>
      <w:r>
        <w:rPr>
          <w:rFonts w:hint="eastAsia" w:ascii="宋体" w:hAnsi="宋体" w:cs="宋体"/>
          <w:b/>
          <w:bCs/>
          <w:sz w:val="30"/>
          <w:szCs w:val="30"/>
        </w:rPr>
        <w:br w:type="page"/>
      </w:r>
      <w:r>
        <w:rPr>
          <w:rFonts w:hint="eastAsia" w:ascii="宋体" w:hAnsi="宋体" w:cs="宋体"/>
          <w:b/>
          <w:bCs/>
          <w:sz w:val="30"/>
          <w:szCs w:val="30"/>
        </w:rPr>
        <w:t>法定代表人身份证明书</w:t>
      </w:r>
      <w:bookmarkEnd w:id="113"/>
    </w:p>
    <w:p>
      <w:pPr>
        <w:spacing w:line="360" w:lineRule="auto"/>
        <w:rPr>
          <w:rFonts w:ascii="宋体" w:hAnsi="宋体" w:cs="宋体"/>
          <w:bCs/>
          <w:sz w:val="24"/>
        </w:rPr>
      </w:pPr>
      <w:r>
        <w:rPr>
          <w:rFonts w:hint="eastAsia" w:ascii="宋体" w:hAnsi="宋体" w:cs="宋体"/>
          <w:bCs/>
          <w:sz w:val="24"/>
        </w:rPr>
        <w:t>致：</w:t>
      </w:r>
      <w:r>
        <w:rPr>
          <w:rFonts w:hint="eastAsia" w:ascii="宋体" w:hAnsi="宋体" w:cs="宋体"/>
          <w:sz w:val="24"/>
          <w:lang w:eastAsia="zh-Hans"/>
        </w:rPr>
        <w:t>四川省成都市第七中学初中学校</w:t>
      </w:r>
    </w:p>
    <w:p>
      <w:pPr>
        <w:spacing w:line="360" w:lineRule="auto"/>
        <w:rPr>
          <w:rFonts w:ascii="宋体" w:hAnsi="宋体" w:cs="宋体"/>
          <w:bCs/>
          <w:sz w:val="24"/>
        </w:rPr>
      </w:pPr>
    </w:p>
    <w:p>
      <w:pPr>
        <w:spacing w:line="360" w:lineRule="auto"/>
        <w:ind w:firstLine="484" w:firstLineChars="202"/>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 xml:space="preserve">（姓名），现系 </w:t>
      </w:r>
      <w:r>
        <w:rPr>
          <w:rFonts w:hint="eastAsia" w:ascii="宋体" w:hAnsi="宋体" w:cs="宋体"/>
          <w:bCs/>
          <w:sz w:val="24"/>
          <w:u w:val="single"/>
        </w:rPr>
        <w:t xml:space="preserve">           </w:t>
      </w:r>
      <w:r>
        <w:rPr>
          <w:rFonts w:hint="eastAsia" w:ascii="宋体" w:hAnsi="宋体" w:cs="宋体"/>
          <w:bCs/>
          <w:sz w:val="24"/>
        </w:rPr>
        <w:t>（申请人全称）的法定代表人，特此证明。</w:t>
      </w:r>
    </w:p>
    <w:p>
      <w:pPr>
        <w:spacing w:line="360" w:lineRule="auto"/>
        <w:ind w:firstLine="480" w:firstLineChars="200"/>
        <w:rPr>
          <w:rFonts w:ascii="宋体" w:hAnsi="宋体" w:cs="宋体"/>
          <w:bCs/>
          <w:sz w:val="24"/>
          <w:u w:val="single"/>
        </w:rPr>
      </w:pPr>
      <w:r>
        <w:rPr>
          <w:rFonts w:hint="eastAsia" w:ascii="宋体" w:hAnsi="宋体" w:cs="宋体"/>
          <w:sz w:val="24"/>
        </w:rPr>
        <w:t>本项目涉及相关文件中，若签名及印鉴与本资格证明书签字及印鉴样本不符的，本申请人不予承认。</w:t>
      </w:r>
    </w:p>
    <w:p>
      <w:pPr>
        <w:spacing w:line="360" w:lineRule="auto"/>
        <w:rPr>
          <w:rFonts w:ascii="宋体" w:hAnsi="宋体" w:cs="宋体"/>
          <w:bCs/>
          <w:sz w:val="24"/>
        </w:rPr>
      </w:pPr>
    </w:p>
    <w:p>
      <w:pPr>
        <w:spacing w:line="360" w:lineRule="auto"/>
        <w:rPr>
          <w:rFonts w:ascii="宋体" w:hAnsi="宋体" w:cs="宋体"/>
          <w:bCs/>
          <w:sz w:val="24"/>
          <w:u w:val="single"/>
        </w:rPr>
      </w:pP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（签字或盖法定代表人印章）</w:t>
      </w:r>
    </w:p>
    <w:p>
      <w:pPr>
        <w:spacing w:line="360" w:lineRule="auto"/>
        <w:rPr>
          <w:rFonts w:ascii="宋体" w:hAnsi="宋体" w:cs="宋体"/>
          <w:bCs/>
          <w:sz w:val="28"/>
          <w:szCs w:val="28"/>
        </w:rPr>
      </w:pPr>
      <w:r>
        <w:rPr>
          <w:rFonts w:hint="eastAsia" w:ascii="宋体" w:hAnsi="宋体" w:cs="宋体"/>
          <w:bCs/>
          <w:sz w:val="28"/>
          <w:szCs w:val="28"/>
          <w:u w:val="single"/>
        </w:rPr>
        <mc:AlternateContent>
          <mc:Choice Requires="wps">
            <w:drawing>
              <wp:anchor distT="0" distB="0" distL="0" distR="0" simplePos="0" relativeHeight="251660288" behindDoc="0" locked="0" layoutInCell="1" allowOverlap="1">
                <wp:simplePos x="0" y="0"/>
                <wp:positionH relativeFrom="column">
                  <wp:posOffset>49530</wp:posOffset>
                </wp:positionH>
                <wp:positionV relativeFrom="paragraph">
                  <wp:posOffset>345440</wp:posOffset>
                </wp:positionV>
                <wp:extent cx="4655185" cy="2192020"/>
                <wp:effectExtent l="9525" t="5715" r="12065" b="12065"/>
                <wp:wrapNone/>
                <wp:docPr id="1026" name="文本框 2"/>
                <wp:cNvGraphicFramePr/>
                <a:graphic xmlns:a="http://schemas.openxmlformats.org/drawingml/2006/main">
                  <a:graphicData uri="http://schemas.microsoft.com/office/word/2010/wordprocessingShape">
                    <wps:wsp>
                      <wps:cNvSpPr/>
                      <wps:spPr>
                        <a:xfrm>
                          <a:off x="0" y="0"/>
                          <a:ext cx="4655185" cy="2192020"/>
                        </a:xfrm>
                        <a:prstGeom prst="rect">
                          <a:avLst/>
                        </a:prstGeom>
                        <a:solidFill>
                          <a:srgbClr val="FFFFFF"/>
                        </a:solidFill>
                        <a:ln w="9525" cap="flat" cmpd="sng">
                          <a:solidFill>
                            <a:srgbClr val="000000"/>
                          </a:solidFill>
                          <a:prstDash val="solid"/>
                          <a:miter/>
                        </a:ln>
                      </wps:spPr>
                      <wps:txbx>
                        <w:txbxContent>
                          <w:p>
                            <w:pPr>
                              <w:rPr>
                                <w:sz w:val="28"/>
                                <w:szCs w:val="28"/>
                                <w:highlight w:val="green"/>
                              </w:rPr>
                            </w:pPr>
                          </w:p>
                          <w:p>
                            <w:pPr>
                              <w:rPr>
                                <w:sz w:val="24"/>
                                <w:highlight w:val="green"/>
                              </w:rPr>
                            </w:pPr>
                          </w:p>
                          <w:p>
                            <w:pPr>
                              <w:rPr>
                                <w:b/>
                                <w:sz w:val="24"/>
                              </w:rPr>
                            </w:pPr>
                          </w:p>
                          <w:p>
                            <w:pPr>
                              <w:rPr>
                                <w:b/>
                                <w:sz w:val="24"/>
                              </w:rPr>
                            </w:pPr>
                          </w:p>
                          <w:p>
                            <w:pPr>
                              <w:rPr>
                                <w:b/>
                                <w:sz w:val="24"/>
                              </w:rPr>
                            </w:pPr>
                          </w:p>
                          <w:p>
                            <w:pPr>
                              <w:rPr>
                                <w:rFonts w:ascii="宋体" w:hAnsi="宋体"/>
                                <w:b/>
                                <w:sz w:val="24"/>
                              </w:rPr>
                            </w:pPr>
                            <w:r>
                              <w:rPr>
                                <w:rFonts w:hint="eastAsia" w:ascii="宋体" w:hAnsi="宋体"/>
                                <w:b/>
                                <w:sz w:val="24"/>
                              </w:rPr>
                              <w:t>法定代表人身份证复印件（身份证两面均应复印，不允许粘贴）</w:t>
                            </w:r>
                          </w:p>
                        </w:txbxContent>
                      </wps:txbx>
                      <wps:bodyPr vert="horz" wrap="square" lIns="91440" tIns="45720" rIns="91440" bIns="45720" anchor="t" upright="1">
                        <a:noAutofit/>
                      </wps:bodyPr>
                    </wps:wsp>
                  </a:graphicData>
                </a:graphic>
              </wp:anchor>
            </w:drawing>
          </mc:Choice>
          <mc:Fallback>
            <w:pict>
              <v:rect id="文本框 2" o:spid="_x0000_s1026" o:spt="1" style="position:absolute;left:0pt;margin-left:3.9pt;margin-top:27.2pt;height:172.6pt;width:366.55pt;z-index:251660288;mso-width-relative:page;mso-height-relative:page;" fillcolor="#FFFFFF" filled="t" stroked="t" coordsize="21600,21600" o:gfxdata="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wU9/l1wAA&#10;AAgBAAAPAAAAAAAAAAEAIAAAADgAAABkcnMvZG93bnJldi54bWxQSwECFAAUAAAACACHTuJA3O3a&#10;WQkCAAABBAAADgAAAAAAAAABACAAAAA8AQAAZHJzL2Uyb0RvYy54bWxQSwUGAAAAAAYABgBZAQAA&#10;twUAAAAA&#10;">
                <v:fill on="t" focussize="0,0"/>
                <v:stroke color="#000000" joinstyle="miter"/>
                <v:imagedata o:title=""/>
                <o:lock v:ext="edit" aspectratio="f"/>
                <v:textbox>
                  <w:txbxContent>
                    <w:p>
                      <w:pPr>
                        <w:rPr>
                          <w:sz w:val="28"/>
                          <w:szCs w:val="28"/>
                          <w:highlight w:val="green"/>
                        </w:rPr>
                      </w:pPr>
                    </w:p>
                    <w:p>
                      <w:pPr>
                        <w:rPr>
                          <w:sz w:val="24"/>
                          <w:highlight w:val="green"/>
                        </w:rPr>
                      </w:pPr>
                    </w:p>
                    <w:p>
                      <w:pPr>
                        <w:rPr>
                          <w:b/>
                          <w:sz w:val="24"/>
                        </w:rPr>
                      </w:pPr>
                    </w:p>
                    <w:p>
                      <w:pPr>
                        <w:rPr>
                          <w:b/>
                          <w:sz w:val="24"/>
                        </w:rPr>
                      </w:pPr>
                    </w:p>
                    <w:p>
                      <w:pPr>
                        <w:rPr>
                          <w:b/>
                          <w:sz w:val="24"/>
                        </w:rPr>
                      </w:pPr>
                    </w:p>
                    <w:p>
                      <w:pPr>
                        <w:rPr>
                          <w:rFonts w:ascii="宋体" w:hAnsi="宋体"/>
                          <w:b/>
                          <w:sz w:val="24"/>
                        </w:rPr>
                      </w:pPr>
                      <w:r>
                        <w:rPr>
                          <w:rFonts w:hint="eastAsia" w:ascii="宋体" w:hAnsi="宋体"/>
                          <w:b/>
                          <w:sz w:val="24"/>
                        </w:rPr>
                        <w:t>法定代表人身份证复印件（身份证两面均应复印，不允许粘贴）</w:t>
                      </w:r>
                    </w:p>
                  </w:txbxContent>
                </v:textbox>
              </v:rect>
            </w:pict>
          </mc:Fallback>
        </mc:AlternateContent>
      </w:r>
    </w:p>
    <w:p>
      <w:pPr>
        <w:spacing w:line="360" w:lineRule="auto"/>
        <w:rPr>
          <w:rFonts w:hint="eastAsia" w:ascii="宋体" w:hAnsi="宋体" w:eastAsia="宋体" w:cs="宋体"/>
          <w:bCs/>
          <w:sz w:val="28"/>
          <w:szCs w:val="28"/>
          <w:lang w:val="en-US" w:eastAsia="zh-CN"/>
        </w:rPr>
      </w:pPr>
      <w:r>
        <w:rPr>
          <w:rFonts w:hint="eastAsia" w:ascii="宋体" w:hAnsi="宋体" w:cs="宋体"/>
          <w:bCs/>
          <w:sz w:val="28"/>
          <w:szCs w:val="28"/>
          <w:lang w:val="en-US" w:eastAsia="zh-CN"/>
        </w:rPr>
        <w:t xml:space="preserve"> </w:t>
      </w:r>
    </w:p>
    <w:p>
      <w:pPr>
        <w:spacing w:line="360" w:lineRule="auto"/>
        <w:rPr>
          <w:rFonts w:ascii="宋体" w:hAnsi="宋体" w:cs="宋体"/>
          <w:bCs/>
          <w:sz w:val="28"/>
          <w:szCs w:val="28"/>
          <w:u w:val="single"/>
        </w:rPr>
      </w:pPr>
    </w:p>
    <w:p>
      <w:pPr>
        <w:spacing w:line="360" w:lineRule="auto"/>
        <w:rPr>
          <w:rFonts w:ascii="宋体" w:hAnsi="宋体" w:cs="宋体"/>
          <w:bCs/>
          <w:sz w:val="28"/>
          <w:szCs w:val="28"/>
          <w:u w:val="single"/>
        </w:rPr>
      </w:pPr>
    </w:p>
    <w:p>
      <w:pPr>
        <w:spacing w:line="360" w:lineRule="auto"/>
        <w:rPr>
          <w:rFonts w:ascii="宋体" w:hAnsi="宋体" w:cs="宋体"/>
          <w:bCs/>
          <w:sz w:val="28"/>
          <w:szCs w:val="28"/>
          <w:u w:val="single"/>
        </w:rPr>
      </w:pPr>
    </w:p>
    <w:p>
      <w:pPr>
        <w:spacing w:line="360" w:lineRule="auto"/>
        <w:rPr>
          <w:rFonts w:ascii="宋体" w:hAnsi="宋体" w:cs="宋体"/>
          <w:bCs/>
          <w:sz w:val="28"/>
          <w:szCs w:val="28"/>
          <w:u w:val="single"/>
        </w:rPr>
      </w:pPr>
    </w:p>
    <w:p>
      <w:pPr>
        <w:spacing w:line="360" w:lineRule="auto"/>
        <w:rPr>
          <w:rFonts w:ascii="宋体" w:hAnsi="宋体" w:cs="宋体"/>
          <w:bCs/>
          <w:sz w:val="28"/>
          <w:szCs w:val="28"/>
          <w:u w:val="single"/>
        </w:rPr>
      </w:pPr>
    </w:p>
    <w:p>
      <w:pPr>
        <w:spacing w:line="360" w:lineRule="auto"/>
        <w:rPr>
          <w:rFonts w:ascii="宋体" w:hAnsi="宋体" w:cs="宋体"/>
          <w:bCs/>
          <w:sz w:val="24"/>
        </w:rPr>
      </w:pPr>
      <w:r>
        <w:rPr>
          <w:rFonts w:hint="eastAsia" w:ascii="宋体" w:hAnsi="宋体" w:cs="宋体"/>
          <w:bCs/>
          <w:sz w:val="24"/>
        </w:rPr>
        <w:t>注：身份证所在页盖章视为有效</w:t>
      </w:r>
    </w:p>
    <w:p>
      <w:pPr>
        <w:pStyle w:val="4"/>
        <w:rPr>
          <w:rFonts w:cs="宋体"/>
          <w:sz w:val="24"/>
          <w:szCs w:val="24"/>
        </w:rPr>
      </w:pPr>
    </w:p>
    <w:p>
      <w:pPr>
        <w:spacing w:line="560" w:lineRule="exact"/>
        <w:rPr>
          <w:rFonts w:ascii="宋体" w:hAnsi="宋体" w:cs="宋体"/>
          <w:bCs/>
          <w:sz w:val="24"/>
          <w:u w:val="single"/>
        </w:rPr>
      </w:pPr>
      <w:r>
        <w:rPr>
          <w:rFonts w:hint="eastAsia" w:ascii="宋体" w:hAnsi="宋体" w:cs="宋体"/>
          <w:bCs/>
          <w:sz w:val="24"/>
        </w:rPr>
        <w:t>比选申请人名称：</w:t>
      </w:r>
      <w:r>
        <w:rPr>
          <w:rFonts w:hint="eastAsia" w:ascii="宋体" w:hAnsi="宋体" w:cs="宋体"/>
          <w:bCs/>
          <w:sz w:val="24"/>
          <w:u w:val="single"/>
        </w:rPr>
        <w:t xml:space="preserve">                             </w:t>
      </w:r>
      <w:r>
        <w:rPr>
          <w:rFonts w:hint="eastAsia" w:ascii="宋体" w:hAnsi="宋体" w:cs="宋体"/>
          <w:bCs/>
          <w:sz w:val="24"/>
        </w:rPr>
        <w:t xml:space="preserve"> （加盖公章）</w:t>
      </w:r>
    </w:p>
    <w:p>
      <w:pPr>
        <w:spacing w:line="560" w:lineRule="exact"/>
        <w:rPr>
          <w:rFonts w:ascii="宋体" w:hAnsi="宋体" w:cs="宋体"/>
          <w:bCs/>
          <w:sz w:val="24"/>
        </w:rPr>
      </w:pPr>
      <w:r>
        <w:rPr>
          <w:rFonts w:hint="eastAsia" w:ascii="宋体" w:hAnsi="宋体" w:cs="宋体"/>
          <w:bCs/>
          <w:sz w:val="24"/>
        </w:rPr>
        <w:t>日期：    年   月   日</w:t>
      </w:r>
      <w:bookmarkStart w:id="114" w:name="_Toc425509586"/>
    </w:p>
    <w:p>
      <w:pPr>
        <w:adjustRightInd w:val="0"/>
        <w:snapToGrid w:val="0"/>
        <w:spacing w:before="156" w:beforeLines="50" w:line="560" w:lineRule="exact"/>
        <w:jc w:val="left"/>
        <w:rPr>
          <w:rFonts w:ascii="宋体" w:hAnsi="宋体" w:cs="宋体"/>
          <w:sz w:val="24"/>
        </w:rPr>
      </w:pPr>
    </w:p>
    <w:p>
      <w:pPr>
        <w:adjustRightInd w:val="0"/>
        <w:snapToGrid w:val="0"/>
        <w:spacing w:before="156" w:beforeLines="50" w:line="360" w:lineRule="auto"/>
        <w:jc w:val="left"/>
        <w:rPr>
          <w:rFonts w:ascii="宋体" w:hAnsi="宋体" w:cs="宋体"/>
        </w:rPr>
      </w:pPr>
    </w:p>
    <w:p>
      <w:pPr>
        <w:adjustRightInd w:val="0"/>
        <w:snapToGrid w:val="0"/>
        <w:spacing w:before="156" w:beforeLines="50" w:line="360" w:lineRule="auto"/>
        <w:jc w:val="left"/>
        <w:rPr>
          <w:rFonts w:ascii="宋体" w:hAnsi="宋体" w:cs="宋体"/>
          <w:b/>
          <w:bCs/>
          <w:sz w:val="30"/>
          <w:szCs w:val="30"/>
        </w:rPr>
      </w:pPr>
      <w:r>
        <w:rPr>
          <w:rFonts w:hint="eastAsia" w:ascii="宋体" w:hAnsi="宋体" w:cs="宋体"/>
          <w:sz w:val="28"/>
          <w:szCs w:val="28"/>
        </w:rPr>
        <w:br w:type="page"/>
      </w:r>
      <w:r>
        <w:rPr>
          <w:rFonts w:hint="eastAsia" w:ascii="宋体" w:hAnsi="宋体" w:cs="宋体"/>
          <w:sz w:val="28"/>
          <w:szCs w:val="28"/>
        </w:rPr>
        <w:t>6</w:t>
      </w:r>
      <w:r>
        <w:rPr>
          <w:rFonts w:hint="eastAsia" w:ascii="宋体" w:hAnsi="宋体" w:cs="宋体"/>
          <w:b/>
          <w:bCs/>
          <w:sz w:val="30"/>
          <w:szCs w:val="30"/>
        </w:rPr>
        <w:t>、法定代表人授权委托书</w:t>
      </w:r>
      <w:bookmarkEnd w:id="114"/>
    </w:p>
    <w:p>
      <w:pPr>
        <w:tabs>
          <w:tab w:val="left" w:pos="5400"/>
        </w:tabs>
        <w:spacing w:line="360" w:lineRule="auto"/>
        <w:rPr>
          <w:rFonts w:ascii="宋体" w:hAnsi="宋体" w:cs="宋体"/>
          <w:sz w:val="24"/>
        </w:rPr>
      </w:pPr>
    </w:p>
    <w:p>
      <w:pPr>
        <w:widowControl/>
        <w:adjustRightInd w:val="0"/>
        <w:snapToGrid w:val="0"/>
        <w:spacing w:line="360" w:lineRule="auto"/>
        <w:ind w:firstLine="484" w:firstLineChars="202"/>
        <w:jc w:val="left"/>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(比选申请人)  </w:t>
      </w:r>
      <w:r>
        <w:rPr>
          <w:rFonts w:hint="eastAsia" w:ascii="宋体" w:hAnsi="宋体" w:cs="宋体"/>
          <w:sz w:val="24"/>
        </w:rPr>
        <w:t>的法定代表人，现授权</w:t>
      </w:r>
      <w:r>
        <w:rPr>
          <w:rFonts w:hint="eastAsia" w:ascii="宋体" w:hAnsi="宋体" w:cs="宋体"/>
          <w:sz w:val="24"/>
          <w:u w:val="single"/>
        </w:rPr>
        <w:t xml:space="preserve">   (姓名)   </w:t>
      </w:r>
      <w:r>
        <w:rPr>
          <w:rFonts w:hint="eastAsia" w:ascii="宋体" w:hAnsi="宋体" w:cs="宋体"/>
          <w:sz w:val="24"/>
        </w:rPr>
        <w:t>为我的委托代理人，以本单位的名义参加你单位组织的</w:t>
      </w:r>
      <w:r>
        <w:rPr>
          <w:rFonts w:hint="eastAsia" w:ascii="宋体" w:hAnsi="宋体" w:cs="宋体"/>
          <w:sz w:val="24"/>
          <w:u w:val="single"/>
        </w:rPr>
        <w:t xml:space="preserve">       比选采购项目</w:t>
      </w:r>
      <w:r>
        <w:rPr>
          <w:rFonts w:hint="eastAsia" w:ascii="宋体" w:hAnsi="宋体" w:cs="宋体"/>
          <w:sz w:val="24"/>
        </w:rPr>
        <w:t>的比选活动。委托代理人在比选活动和合同比选过程中所签署的一切文件和处理与之有关的一切事务，我本人及单位均予以承认并承担其所产生的所有权利和义务。</w:t>
      </w:r>
    </w:p>
    <w:p>
      <w:pPr>
        <w:spacing w:line="360" w:lineRule="auto"/>
        <w:ind w:firstLine="63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w:t>
      </w:r>
    </w:p>
    <w:p>
      <w:pPr>
        <w:spacing w:line="360" w:lineRule="auto"/>
        <w:ind w:firstLine="630"/>
        <w:rPr>
          <w:rFonts w:ascii="宋体" w:hAnsi="宋体" w:cs="宋体"/>
          <w:sz w:val="24"/>
        </w:rPr>
      </w:pPr>
      <w:r>
        <w:rPr>
          <w:rFonts w:hint="eastAsia" w:ascii="宋体" w:hAnsi="宋体" w:cs="宋体"/>
          <w:sz w:val="24"/>
        </w:rPr>
        <w:t>委托代理人无转委托权。</w:t>
      </w:r>
    </w:p>
    <w:p>
      <w:pPr>
        <w:spacing w:line="360" w:lineRule="auto"/>
        <w:ind w:firstLine="630"/>
        <w:rPr>
          <w:rFonts w:ascii="宋体" w:hAnsi="宋体" w:cs="宋体"/>
          <w:sz w:val="24"/>
        </w:rPr>
      </w:pPr>
      <w:r>
        <w:rPr>
          <w:rFonts w:hint="eastAsia" w:ascii="宋体" w:hAnsi="宋体" w:cs="宋体"/>
          <w:sz w:val="24"/>
        </w:rPr>
        <w:t>特此委托。</w:t>
      </w:r>
    </w:p>
    <w:p>
      <w:pPr>
        <w:spacing w:line="360" w:lineRule="auto"/>
        <w:ind w:firstLine="630"/>
        <w:rPr>
          <w:rFonts w:ascii="宋体" w:hAnsi="宋体" w:cs="宋体"/>
          <w:sz w:val="30"/>
          <w:szCs w:val="30"/>
        </w:rPr>
      </w:pPr>
      <w:r>
        <w:rPr>
          <w:rFonts w:hint="eastAsia" w:ascii="宋体" w:hAnsi="宋体" w:cs="宋体"/>
          <w:sz w:val="30"/>
          <w:szCs w:val="30"/>
        </w:rPr>
        <mc:AlternateContent>
          <mc:Choice Requires="wps">
            <w:drawing>
              <wp:anchor distT="0" distB="0" distL="0" distR="0" simplePos="0" relativeHeight="251661312" behindDoc="0" locked="0" layoutInCell="1" allowOverlap="1">
                <wp:simplePos x="0" y="0"/>
                <wp:positionH relativeFrom="column">
                  <wp:posOffset>457200</wp:posOffset>
                </wp:positionH>
                <wp:positionV relativeFrom="paragraph">
                  <wp:posOffset>0</wp:posOffset>
                </wp:positionV>
                <wp:extent cx="4425950" cy="2113915"/>
                <wp:effectExtent l="7620" t="11430" r="5080" b="8255"/>
                <wp:wrapNone/>
                <wp:docPr id="1027" name="文本框 1"/>
                <wp:cNvGraphicFramePr/>
                <a:graphic xmlns:a="http://schemas.openxmlformats.org/drawingml/2006/main">
                  <a:graphicData uri="http://schemas.microsoft.com/office/word/2010/wordprocessingShape">
                    <wps:wsp>
                      <wps:cNvSpPr/>
                      <wps:spPr>
                        <a:xfrm>
                          <a:off x="0" y="0"/>
                          <a:ext cx="4425950" cy="2113915"/>
                        </a:xfrm>
                        <a:prstGeom prst="rect">
                          <a:avLst/>
                        </a:prstGeom>
                        <a:solidFill>
                          <a:srgbClr val="FFFFFF"/>
                        </a:solidFill>
                        <a:ln w="9525" cap="flat" cmpd="sng">
                          <a:solidFill>
                            <a:srgbClr val="000000"/>
                          </a:solidFill>
                          <a:prstDash val="solid"/>
                          <a:miter/>
                        </a:ln>
                      </wps:spPr>
                      <wps:txbx>
                        <w:txbxContent>
                          <w:p>
                            <w:pPr>
                              <w:rPr>
                                <w:rFonts w:ascii="宋体" w:hAnsi="宋体"/>
                                <w:sz w:val="28"/>
                                <w:szCs w:val="28"/>
                              </w:rPr>
                            </w:pP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sz w:val="28"/>
                                <w:szCs w:val="28"/>
                              </w:rPr>
                            </w:pPr>
                            <w:r>
                              <w:rPr>
                                <w:rFonts w:hint="eastAsia" w:ascii="宋体" w:hAnsi="宋体"/>
                                <w:b/>
                                <w:sz w:val="24"/>
                              </w:rPr>
                              <w:t>代理人身份证复印件（身份证两面均应复印，不允许粘贴）</w:t>
                            </w:r>
                          </w:p>
                        </w:txbxContent>
                      </wps:txbx>
                      <wps:bodyPr vert="horz" wrap="square" lIns="91440" tIns="45720" rIns="91440" bIns="45720" anchor="t" upright="1">
                        <a:noAutofit/>
                      </wps:bodyPr>
                    </wps:wsp>
                  </a:graphicData>
                </a:graphic>
              </wp:anchor>
            </w:drawing>
          </mc:Choice>
          <mc:Fallback>
            <w:pict>
              <v:rect id="文本框 1" o:spid="_x0000_s1026" o:spt="1" style="position:absolute;left:0pt;margin-left:36pt;margin-top:0pt;height:166.45pt;width:348.5pt;z-index:251661312;mso-width-relative:page;mso-height-relative:page;" fillcolor="#FFFFFF" filled="t" stroked="t" coordsize="21600,21600" o:gfxdata="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PbOltbWAAAABwEA&#10;AA8AAAAAAAAAAQAgAAAAOAAAAGRycy9kb3ducmV2LnhtbFBLAQIUABQAAAAIAIdO4kBH5WmjBgIA&#10;AAEEAAAOAAAAAAAAAAEAIAAAADsBAABkcnMvZTJvRG9jLnhtbFBLBQYAAAAABgAGAFkBAACzBQAA&#10;AAA=&#10;">
                <v:fill on="t" focussize="0,0"/>
                <v:stroke color="#000000" joinstyle="miter"/>
                <v:imagedata o:title=""/>
                <o:lock v:ext="edit" aspectratio="f"/>
                <v:textbox>
                  <w:txbxContent>
                    <w:p>
                      <w:pPr>
                        <w:rPr>
                          <w:rFonts w:ascii="宋体" w:hAnsi="宋体"/>
                          <w:sz w:val="28"/>
                          <w:szCs w:val="28"/>
                        </w:rPr>
                      </w:pP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sz w:val="28"/>
                          <w:szCs w:val="28"/>
                        </w:rPr>
                      </w:pPr>
                      <w:r>
                        <w:rPr>
                          <w:rFonts w:hint="eastAsia" w:ascii="宋体" w:hAnsi="宋体"/>
                          <w:b/>
                          <w:sz w:val="24"/>
                        </w:rPr>
                        <w:t>代理人身份证复印件（身份证两面均应复印，不允许粘贴）</w:t>
                      </w:r>
                    </w:p>
                  </w:txbxContent>
                </v:textbox>
              </v:rect>
            </w:pict>
          </mc:Fallback>
        </mc:AlternateContent>
      </w:r>
    </w:p>
    <w:p>
      <w:pPr>
        <w:spacing w:line="360" w:lineRule="auto"/>
        <w:ind w:firstLine="630"/>
        <w:rPr>
          <w:rFonts w:ascii="宋体" w:hAnsi="宋体" w:cs="宋体"/>
          <w:sz w:val="30"/>
          <w:szCs w:val="30"/>
        </w:rPr>
      </w:pPr>
    </w:p>
    <w:p>
      <w:pPr>
        <w:spacing w:line="360" w:lineRule="auto"/>
        <w:ind w:firstLine="630"/>
        <w:rPr>
          <w:rFonts w:ascii="宋体" w:hAnsi="宋体" w:cs="宋体"/>
          <w:sz w:val="30"/>
          <w:szCs w:val="30"/>
        </w:rPr>
      </w:pPr>
    </w:p>
    <w:p>
      <w:pPr>
        <w:spacing w:line="360" w:lineRule="auto"/>
        <w:ind w:firstLine="630"/>
        <w:rPr>
          <w:rFonts w:ascii="宋体" w:hAnsi="宋体" w:cs="宋体"/>
          <w:sz w:val="30"/>
          <w:szCs w:val="30"/>
        </w:rPr>
      </w:pPr>
    </w:p>
    <w:p>
      <w:pPr>
        <w:tabs>
          <w:tab w:val="left" w:pos="4140"/>
        </w:tabs>
        <w:spacing w:line="360" w:lineRule="auto"/>
        <w:ind w:firstLine="630"/>
        <w:rPr>
          <w:rFonts w:ascii="宋体" w:hAnsi="宋体" w:cs="宋体"/>
          <w:sz w:val="30"/>
          <w:szCs w:val="30"/>
        </w:rPr>
      </w:pPr>
    </w:p>
    <w:p>
      <w:pPr>
        <w:tabs>
          <w:tab w:val="left" w:pos="6841"/>
        </w:tabs>
        <w:spacing w:line="360" w:lineRule="auto"/>
        <w:rPr>
          <w:rFonts w:ascii="宋体" w:hAnsi="宋体" w:cs="宋体"/>
          <w:sz w:val="30"/>
          <w:szCs w:val="30"/>
        </w:rPr>
      </w:pPr>
      <w:r>
        <w:rPr>
          <w:rFonts w:hint="eastAsia" w:ascii="宋体" w:hAnsi="宋体" w:cs="宋体"/>
          <w:sz w:val="30"/>
          <w:szCs w:val="30"/>
        </w:rPr>
        <w:tab/>
      </w:r>
    </w:p>
    <w:p>
      <w:pPr>
        <w:spacing w:line="360" w:lineRule="auto"/>
        <w:rPr>
          <w:rFonts w:ascii="宋体" w:hAnsi="宋体" w:cs="宋体"/>
          <w:bCs/>
          <w:sz w:val="24"/>
        </w:rPr>
      </w:pPr>
      <w:r>
        <w:rPr>
          <w:rFonts w:hint="eastAsia" w:ascii="宋体" w:hAnsi="宋体" w:cs="宋体"/>
          <w:bCs/>
          <w:sz w:val="24"/>
        </w:rPr>
        <w:t>注：身份证所在页盖章视为有效</w:t>
      </w:r>
    </w:p>
    <w:p>
      <w:pPr>
        <w:pStyle w:val="4"/>
        <w:rPr>
          <w:rFonts w:cs="宋体"/>
        </w:rPr>
      </w:pPr>
    </w:p>
    <w:p>
      <w:pPr>
        <w:spacing w:line="360" w:lineRule="auto"/>
        <w:ind w:firstLine="432" w:firstLineChars="18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(签字或盖法定代表人印章）</w:t>
      </w:r>
    </w:p>
    <w:p>
      <w:pPr>
        <w:spacing w:line="360" w:lineRule="auto"/>
        <w:ind w:firstLine="432" w:firstLineChars="180"/>
        <w:rPr>
          <w:rFonts w:ascii="宋体" w:hAnsi="宋体" w:cs="宋体"/>
          <w:sz w:val="24"/>
        </w:rPr>
      </w:pPr>
      <w:r>
        <w:rPr>
          <w:rFonts w:hint="eastAsia" w:ascii="宋体" w:hAnsi="宋体" w:cs="宋体"/>
          <w:sz w:val="24"/>
        </w:rPr>
        <w:t>代理人：</w:t>
      </w:r>
      <w:r>
        <w:rPr>
          <w:rFonts w:hint="eastAsia" w:ascii="宋体" w:hAnsi="宋体" w:cs="宋体"/>
          <w:sz w:val="24"/>
          <w:u w:val="single"/>
        </w:rPr>
        <w:t xml:space="preserve">                   </w:t>
      </w:r>
      <w:r>
        <w:rPr>
          <w:rFonts w:hint="eastAsia" w:ascii="宋体" w:hAnsi="宋体" w:cs="宋体"/>
          <w:sz w:val="24"/>
        </w:rPr>
        <w:t xml:space="preserve"> （签字）</w:t>
      </w:r>
    </w:p>
    <w:p>
      <w:pPr>
        <w:spacing w:line="360" w:lineRule="auto"/>
        <w:ind w:firstLine="432" w:firstLineChars="180"/>
        <w:rPr>
          <w:rFonts w:ascii="宋体" w:hAnsi="宋体" w:cs="宋体"/>
          <w:sz w:val="24"/>
        </w:rPr>
      </w:pPr>
      <w:r>
        <w:rPr>
          <w:rFonts w:hint="eastAsia" w:ascii="宋体" w:hAnsi="宋体" w:cs="宋体"/>
          <w:sz w:val="24"/>
        </w:rPr>
        <w:t>比选申请人名称：</w:t>
      </w:r>
      <w:r>
        <w:rPr>
          <w:rFonts w:hint="eastAsia" w:ascii="宋体" w:hAnsi="宋体" w:cs="宋体"/>
          <w:sz w:val="24"/>
          <w:u w:val="single"/>
        </w:rPr>
        <w:t xml:space="preserve">                  </w:t>
      </w:r>
      <w:r>
        <w:rPr>
          <w:rFonts w:hint="eastAsia" w:ascii="宋体" w:hAnsi="宋体" w:cs="宋体"/>
          <w:sz w:val="24"/>
        </w:rPr>
        <w:t>（并加盖公章）</w:t>
      </w:r>
    </w:p>
    <w:p>
      <w:pPr>
        <w:adjustRightInd w:val="0"/>
        <w:snapToGrid w:val="0"/>
        <w:spacing w:before="156" w:beforeLines="50" w:line="360" w:lineRule="auto"/>
        <w:ind w:right="600" w:firstLine="480" w:firstLineChars="200"/>
        <w:rPr>
          <w:rFonts w:ascii="宋体" w:hAnsi="宋体" w:cs="宋体"/>
          <w:sz w:val="24"/>
        </w:rPr>
      </w:pPr>
    </w:p>
    <w:p>
      <w:pPr>
        <w:adjustRightInd w:val="0"/>
        <w:snapToGrid w:val="0"/>
        <w:spacing w:before="156" w:beforeLines="50" w:line="360" w:lineRule="auto"/>
        <w:ind w:right="600" w:firstLine="480" w:firstLineChars="200"/>
        <w:rPr>
          <w:rFonts w:ascii="宋体" w:hAnsi="宋体" w:cs="宋体"/>
          <w:sz w:val="24"/>
        </w:rPr>
      </w:pPr>
      <w:r>
        <w:rPr>
          <w:rFonts w:hint="eastAsia" w:ascii="宋体" w:hAnsi="宋体" w:cs="宋体"/>
          <w:sz w:val="24"/>
        </w:rPr>
        <w:t>说明：比选申请书如均由比选申请人法定代表人签字的，则比选申请书中可不提供法定代表人授权书。</w:t>
      </w:r>
      <w:bookmarkStart w:id="115" w:name="_Toc425509587"/>
      <w:bookmarkEnd w:id="115"/>
    </w:p>
    <w:p>
      <w:pPr>
        <w:pStyle w:val="4"/>
        <w:tabs>
          <w:tab w:val="left" w:pos="0"/>
          <w:tab w:val="left" w:pos="6521"/>
        </w:tabs>
        <w:rPr>
          <w:rFonts w:cs="宋体"/>
        </w:rPr>
      </w:pPr>
      <w:bookmarkStart w:id="116" w:name="_Toc181085154"/>
      <w:bookmarkStart w:id="117" w:name="_Toc425238399"/>
      <w:bookmarkStart w:id="118" w:name="_Toc182727391"/>
      <w:bookmarkStart w:id="119" w:name="_Toc177538304"/>
      <w:bookmarkStart w:id="120" w:name="_Toc177538753"/>
      <w:bookmarkStart w:id="121" w:name="_Toc405989367"/>
      <w:bookmarkStart w:id="122" w:name="_Toc405989167"/>
      <w:bookmarkStart w:id="123" w:name="_Toc182727532"/>
      <w:bookmarkStart w:id="124" w:name="_Toc396896732"/>
      <w:r>
        <w:rPr>
          <w:rFonts w:hint="eastAsia" w:cs="宋体"/>
          <w:sz w:val="30"/>
          <w:szCs w:val="30"/>
        </w:rPr>
        <w:br w:type="page"/>
      </w:r>
      <w:r>
        <w:rPr>
          <w:rFonts w:hint="eastAsia" w:cs="宋体"/>
          <w:sz w:val="30"/>
          <w:szCs w:val="30"/>
        </w:rPr>
        <w:t>7、</w:t>
      </w:r>
      <w:r>
        <w:rPr>
          <w:rFonts w:hint="eastAsia" w:cs="宋体"/>
        </w:rPr>
        <w:t>项目</w:t>
      </w:r>
      <w:bookmarkEnd w:id="116"/>
      <w:bookmarkEnd w:id="117"/>
      <w:bookmarkEnd w:id="118"/>
      <w:bookmarkEnd w:id="119"/>
      <w:bookmarkEnd w:id="120"/>
      <w:bookmarkEnd w:id="121"/>
      <w:bookmarkEnd w:id="122"/>
      <w:bookmarkEnd w:id="123"/>
      <w:bookmarkEnd w:id="124"/>
      <w:r>
        <w:rPr>
          <w:rFonts w:hint="eastAsia" w:cs="宋体"/>
        </w:rPr>
        <w:t>实施方案</w:t>
      </w:r>
    </w:p>
    <w:p>
      <w:pPr>
        <w:rPr>
          <w:rFonts w:ascii="宋体" w:hAnsi="宋体" w:cs="宋体"/>
        </w:rPr>
      </w:pPr>
    </w:p>
    <w:p>
      <w:pPr>
        <w:spacing w:line="560" w:lineRule="exact"/>
        <w:rPr>
          <w:rFonts w:ascii="宋体" w:hAnsi="宋体" w:cs="宋体"/>
          <w:sz w:val="24"/>
        </w:rPr>
      </w:pPr>
      <w:r>
        <w:rPr>
          <w:rFonts w:hint="eastAsia" w:ascii="宋体" w:hAnsi="宋体" w:cs="宋体"/>
          <w:sz w:val="28"/>
        </w:rPr>
        <w:t xml:space="preserve">  </w:t>
      </w:r>
      <w:r>
        <w:rPr>
          <w:rFonts w:hint="eastAsia" w:ascii="宋体" w:hAnsi="宋体" w:cs="宋体"/>
          <w:sz w:val="24"/>
        </w:rPr>
        <w:t xml:space="preserve">  由比选申请人根据比选文件第三部分服务内容自行编写，格式不限，但应包含不限于：比选文件第三部分内容中的服务要求。</w:t>
      </w:r>
    </w:p>
    <w:p>
      <w:pPr>
        <w:spacing w:line="560" w:lineRule="exact"/>
        <w:rPr>
          <w:rFonts w:ascii="宋体" w:hAnsi="宋体" w:cs="宋体"/>
          <w:sz w:val="24"/>
        </w:rPr>
      </w:pPr>
    </w:p>
    <w:p>
      <w:pPr>
        <w:spacing w:line="560" w:lineRule="exact"/>
        <w:rPr>
          <w:rFonts w:ascii="宋体" w:hAnsi="宋体" w:cs="宋体"/>
          <w:sz w:val="28"/>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560" w:lineRule="exact"/>
        <w:rPr>
          <w:rFonts w:ascii="宋体" w:hAnsi="宋体" w:cs="宋体"/>
          <w:sz w:val="24"/>
        </w:rPr>
      </w:pPr>
      <w:r>
        <w:rPr>
          <w:rFonts w:hint="eastAsia" w:ascii="宋体" w:hAnsi="宋体" w:cs="宋体"/>
          <w:sz w:val="24"/>
        </w:rPr>
        <w:t>比选申请人名称：</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(加盖公章)</w:t>
      </w:r>
    </w:p>
    <w:p>
      <w:pPr>
        <w:spacing w:line="560" w:lineRule="exact"/>
        <w:rPr>
          <w:rFonts w:ascii="宋体" w:hAnsi="宋体" w:cs="宋体"/>
          <w:sz w:val="24"/>
        </w:rPr>
      </w:pPr>
      <w:r>
        <w:rPr>
          <w:rFonts w:hint="eastAsia" w:ascii="宋体" w:hAnsi="宋体" w:cs="宋体"/>
          <w:sz w:val="24"/>
        </w:rPr>
        <w:t>法定代表人或代理人：</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（签字）</w:t>
      </w:r>
      <w:bookmarkStart w:id="125" w:name="_Toc425509590"/>
    </w:p>
    <w:p>
      <w:pPr>
        <w:rPr>
          <w:rFonts w:ascii="宋体" w:hAnsi="宋体" w:cs="宋体"/>
        </w:rPr>
      </w:pPr>
    </w:p>
    <w:p>
      <w:pPr>
        <w:rPr>
          <w:rFonts w:ascii="宋体" w:hAnsi="宋体" w:cs="宋体"/>
        </w:rPr>
      </w:pPr>
    </w:p>
    <w:p>
      <w:pPr>
        <w:pStyle w:val="4"/>
        <w:tabs>
          <w:tab w:val="left" w:pos="0"/>
          <w:tab w:val="left" w:pos="6521"/>
        </w:tabs>
        <w:rPr>
          <w:rFonts w:cs="宋体"/>
        </w:rPr>
      </w:pPr>
      <w:bookmarkStart w:id="126" w:name="_Toc182727392"/>
      <w:bookmarkStart w:id="127" w:name="_Toc181085155"/>
      <w:bookmarkStart w:id="128" w:name="_Toc405989168"/>
      <w:bookmarkStart w:id="129" w:name="_Toc177538305"/>
      <w:bookmarkStart w:id="130" w:name="_Toc405989368"/>
      <w:bookmarkStart w:id="131" w:name="_Toc182727533"/>
      <w:bookmarkStart w:id="132" w:name="_Toc425238400"/>
      <w:bookmarkStart w:id="133" w:name="_Toc177538754"/>
      <w:bookmarkStart w:id="134" w:name="_Toc396896733"/>
    </w:p>
    <w:p>
      <w:pPr>
        <w:pStyle w:val="4"/>
        <w:tabs>
          <w:tab w:val="left" w:pos="0"/>
          <w:tab w:val="left" w:pos="6521"/>
        </w:tabs>
        <w:rPr>
          <w:rFonts w:cs="宋体"/>
        </w:rPr>
      </w:pPr>
    </w:p>
    <w:p>
      <w:pPr>
        <w:rPr>
          <w:rFonts w:ascii="宋体" w:hAnsi="宋体" w:cs="宋体"/>
        </w:rPr>
      </w:pPr>
    </w:p>
    <w:p>
      <w:pPr>
        <w:pStyle w:val="4"/>
        <w:tabs>
          <w:tab w:val="left" w:pos="0"/>
          <w:tab w:val="left" w:pos="1400"/>
          <w:tab w:val="left" w:pos="6521"/>
        </w:tabs>
        <w:rPr>
          <w:rFonts w:cs="宋体"/>
          <w:sz w:val="30"/>
          <w:szCs w:val="30"/>
        </w:rPr>
      </w:pPr>
    </w:p>
    <w:p>
      <w:pPr>
        <w:rPr>
          <w:rFonts w:ascii="宋体" w:hAnsi="宋体" w:cs="宋体"/>
          <w:b/>
          <w:sz w:val="32"/>
          <w:szCs w:val="32"/>
        </w:rPr>
      </w:pPr>
    </w:p>
    <w:p>
      <w:pPr>
        <w:rPr>
          <w:rFonts w:ascii="宋体" w:hAnsi="宋体" w:cs="宋体"/>
        </w:rPr>
      </w:pPr>
    </w:p>
    <w:p>
      <w:pPr>
        <w:pStyle w:val="5"/>
        <w:tabs>
          <w:tab w:val="left" w:pos="567"/>
        </w:tabs>
        <w:rPr>
          <w:rFonts w:ascii="宋体" w:hAnsi="宋体" w:cs="宋体"/>
        </w:rPr>
      </w:pPr>
      <w:bookmarkStart w:id="135" w:name="_Toc320698765"/>
      <w:bookmarkStart w:id="136" w:name="_Toc12912"/>
      <w:r>
        <w:rPr>
          <w:rFonts w:hint="eastAsia" w:ascii="宋体" w:hAnsi="宋体" w:cs="宋体"/>
          <w:sz w:val="30"/>
          <w:szCs w:val="30"/>
        </w:rPr>
        <w:br w:type="page"/>
      </w:r>
      <w:r>
        <w:rPr>
          <w:rFonts w:hint="eastAsia" w:ascii="宋体" w:hAnsi="宋体" w:cs="宋体"/>
          <w:sz w:val="30"/>
          <w:szCs w:val="30"/>
        </w:rPr>
        <w:t>8、</w:t>
      </w:r>
      <w:r>
        <w:rPr>
          <w:rFonts w:hint="eastAsia" w:ascii="宋体" w:hAnsi="宋体" w:cs="宋体"/>
        </w:rPr>
        <w:t>商务</w:t>
      </w:r>
      <w:bookmarkEnd w:id="135"/>
      <w:r>
        <w:rPr>
          <w:rFonts w:hint="eastAsia" w:ascii="宋体" w:hAnsi="宋体" w:cs="宋体"/>
        </w:rPr>
        <w:t>应答表</w:t>
      </w:r>
      <w:bookmarkEnd w:id="136"/>
    </w:p>
    <w:p>
      <w:pPr>
        <w:pStyle w:val="53"/>
        <w:spacing w:line="240" w:lineRule="auto"/>
        <w:ind w:firstLine="0"/>
        <w:rPr>
          <w:rFonts w:ascii="宋体" w:hAnsi="宋体"/>
          <w:b/>
          <w:sz w:val="24"/>
          <w:szCs w:val="24"/>
        </w:rPr>
      </w:pPr>
      <w:r>
        <w:rPr>
          <w:rFonts w:hint="eastAsia" w:ascii="宋体" w:hAnsi="宋体"/>
          <w:b/>
          <w:sz w:val="24"/>
          <w:szCs w:val="24"/>
        </w:rPr>
        <w:t>采购项目名称：</w:t>
      </w:r>
    </w:p>
    <w:p>
      <w:pPr>
        <w:spacing w:line="360" w:lineRule="auto"/>
        <w:rPr>
          <w:rFonts w:ascii="宋体" w:hAnsi="宋体" w:cs="宋体"/>
          <w:u w:val="single"/>
        </w:rPr>
      </w:pPr>
    </w:p>
    <w:tbl>
      <w:tblPr>
        <w:tblStyle w:val="36"/>
        <w:tblW w:w="97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541"/>
        <w:gridCol w:w="1834"/>
        <w:gridCol w:w="1920"/>
        <w:gridCol w:w="27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8" w:hRule="exact"/>
          <w:jc w:val="center"/>
        </w:trPr>
        <w:tc>
          <w:tcPr>
            <w:tcW w:w="732" w:type="dxa"/>
            <w:vAlign w:val="center"/>
          </w:tcPr>
          <w:p>
            <w:pPr>
              <w:spacing w:line="400" w:lineRule="exact"/>
              <w:jc w:val="center"/>
              <w:rPr>
                <w:rFonts w:ascii="宋体" w:hAnsi="宋体" w:cs="宋体"/>
                <w:sz w:val="24"/>
              </w:rPr>
            </w:pPr>
            <w:r>
              <w:rPr>
                <w:rFonts w:hint="eastAsia" w:ascii="宋体" w:hAnsi="宋体" w:cs="宋体"/>
                <w:sz w:val="24"/>
              </w:rPr>
              <w:t>序号</w:t>
            </w:r>
          </w:p>
        </w:tc>
        <w:tc>
          <w:tcPr>
            <w:tcW w:w="2541" w:type="dxa"/>
            <w:vAlign w:val="center"/>
          </w:tcPr>
          <w:p>
            <w:pPr>
              <w:spacing w:line="500" w:lineRule="exact"/>
              <w:jc w:val="center"/>
              <w:rPr>
                <w:rFonts w:ascii="宋体" w:hAnsi="宋体" w:cs="宋体"/>
                <w:sz w:val="24"/>
              </w:rPr>
            </w:pPr>
            <w:r>
              <w:rPr>
                <w:rFonts w:hint="eastAsia" w:ascii="宋体" w:hAnsi="宋体" w:cs="宋体"/>
                <w:sz w:val="24"/>
              </w:rPr>
              <w:t>比选文件的商务</w:t>
            </w:r>
          </w:p>
          <w:p>
            <w:pPr>
              <w:spacing w:line="500" w:lineRule="exact"/>
              <w:jc w:val="center"/>
              <w:rPr>
                <w:rFonts w:ascii="宋体" w:hAnsi="宋体" w:cs="宋体"/>
                <w:sz w:val="24"/>
              </w:rPr>
            </w:pPr>
            <w:r>
              <w:rPr>
                <w:rFonts w:hint="eastAsia" w:ascii="宋体" w:hAnsi="宋体" w:cs="宋体"/>
                <w:sz w:val="24"/>
              </w:rPr>
              <w:t>条款</w:t>
            </w:r>
          </w:p>
        </w:tc>
        <w:tc>
          <w:tcPr>
            <w:tcW w:w="1834" w:type="dxa"/>
            <w:vAlign w:val="center"/>
          </w:tcPr>
          <w:p>
            <w:pPr>
              <w:spacing w:line="500" w:lineRule="exact"/>
              <w:jc w:val="center"/>
              <w:rPr>
                <w:rFonts w:ascii="宋体" w:hAnsi="宋体" w:cs="宋体"/>
                <w:sz w:val="24"/>
              </w:rPr>
            </w:pPr>
            <w:bookmarkStart w:id="137" w:name="_Toc491724565"/>
            <w:r>
              <w:rPr>
                <w:rFonts w:hint="eastAsia"/>
                <w:sz w:val="24"/>
              </w:rPr>
              <w:t>投标应答</w:t>
            </w:r>
            <w:bookmarkEnd w:id="137"/>
          </w:p>
        </w:tc>
        <w:tc>
          <w:tcPr>
            <w:tcW w:w="1920" w:type="dxa"/>
            <w:vAlign w:val="center"/>
          </w:tcPr>
          <w:p>
            <w:pPr>
              <w:spacing w:line="500" w:lineRule="exact"/>
              <w:jc w:val="center"/>
              <w:rPr>
                <w:rFonts w:ascii="宋体" w:hAnsi="宋体" w:cs="宋体"/>
                <w:sz w:val="24"/>
              </w:rPr>
            </w:pPr>
            <w:bookmarkStart w:id="138" w:name="_Toc491724566"/>
            <w:r>
              <w:rPr>
                <w:rFonts w:hint="eastAsia"/>
                <w:sz w:val="24"/>
              </w:rPr>
              <w:t>响应/偏离</w:t>
            </w:r>
            <w:bookmarkEnd w:id="138"/>
          </w:p>
        </w:tc>
        <w:tc>
          <w:tcPr>
            <w:tcW w:w="2750" w:type="dxa"/>
            <w:vAlign w:val="center"/>
          </w:tcPr>
          <w:p>
            <w:pPr>
              <w:spacing w:line="500" w:lineRule="exact"/>
              <w:jc w:val="center"/>
              <w:rPr>
                <w:rFonts w:ascii="宋体" w:hAnsi="宋体" w:cs="宋体"/>
                <w:sz w:val="24"/>
              </w:rPr>
            </w:pPr>
            <w:r>
              <w:rPr>
                <w:rFonts w:hint="eastAsia" w:ascii="宋体" w:hAnsi="宋体" w:cs="宋体"/>
                <w:sz w:val="24"/>
              </w:rPr>
              <w:t>说明</w:t>
            </w:r>
          </w:p>
          <w:p>
            <w:pPr>
              <w:spacing w:line="500" w:lineRule="exact"/>
              <w:jc w:val="center"/>
              <w:rPr>
                <w:rFonts w:ascii="宋体" w:hAnsi="宋体" w:cs="宋体"/>
                <w:sz w:val="24"/>
              </w:rPr>
            </w:pPr>
            <w:r>
              <w:rPr>
                <w:rFonts w:hint="eastAsia" w:ascii="宋体" w:hAnsi="宋体" w:cs="宋体"/>
                <w:sz w:val="24"/>
              </w:rPr>
              <w:t>（若有偏离请详细列出）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08" w:hRule="exact"/>
          <w:jc w:val="center"/>
        </w:trPr>
        <w:tc>
          <w:tcPr>
            <w:tcW w:w="732" w:type="dxa"/>
            <w:vAlign w:val="center"/>
          </w:tcPr>
          <w:p>
            <w:pPr>
              <w:spacing w:line="500" w:lineRule="exact"/>
              <w:jc w:val="center"/>
              <w:rPr>
                <w:rFonts w:ascii="宋体" w:hAnsi="宋体" w:cs="宋体"/>
                <w:sz w:val="24"/>
              </w:rPr>
            </w:pPr>
            <w:r>
              <w:rPr>
                <w:rFonts w:hint="eastAsia" w:ascii="宋体" w:hAnsi="宋体" w:cs="宋体"/>
                <w:sz w:val="24"/>
              </w:rPr>
              <w:t>1</w:t>
            </w:r>
          </w:p>
        </w:tc>
        <w:tc>
          <w:tcPr>
            <w:tcW w:w="2541" w:type="dxa"/>
            <w:vAlign w:val="center"/>
          </w:tcPr>
          <w:p>
            <w:pPr>
              <w:widowControl/>
              <w:jc w:val="center"/>
              <w:textAlignment w:val="center"/>
              <w:rPr>
                <w:rFonts w:ascii="宋体" w:hAnsi="宋体" w:cs="宋体"/>
                <w:bCs/>
                <w:sz w:val="24"/>
              </w:rPr>
            </w:pPr>
          </w:p>
        </w:tc>
        <w:tc>
          <w:tcPr>
            <w:tcW w:w="1834" w:type="dxa"/>
            <w:vAlign w:val="center"/>
          </w:tcPr>
          <w:p>
            <w:pPr>
              <w:spacing w:line="500" w:lineRule="exact"/>
              <w:jc w:val="center"/>
              <w:rPr>
                <w:rFonts w:ascii="宋体" w:hAnsi="宋体" w:cs="宋体"/>
                <w:sz w:val="24"/>
              </w:rPr>
            </w:pPr>
          </w:p>
        </w:tc>
        <w:tc>
          <w:tcPr>
            <w:tcW w:w="1920" w:type="dxa"/>
            <w:vAlign w:val="center"/>
          </w:tcPr>
          <w:p>
            <w:pPr>
              <w:spacing w:line="500" w:lineRule="exact"/>
              <w:jc w:val="center"/>
              <w:rPr>
                <w:rFonts w:ascii="宋体" w:hAnsi="宋体" w:cs="宋体"/>
                <w:sz w:val="24"/>
              </w:rPr>
            </w:pPr>
          </w:p>
        </w:tc>
        <w:tc>
          <w:tcPr>
            <w:tcW w:w="2750" w:type="dxa"/>
            <w:vAlign w:val="center"/>
          </w:tcPr>
          <w:p>
            <w:pPr>
              <w:spacing w:line="50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72" w:hRule="exact"/>
          <w:jc w:val="center"/>
        </w:trPr>
        <w:tc>
          <w:tcPr>
            <w:tcW w:w="732" w:type="dxa"/>
            <w:vAlign w:val="center"/>
          </w:tcPr>
          <w:p>
            <w:pPr>
              <w:spacing w:line="500" w:lineRule="exact"/>
              <w:jc w:val="center"/>
              <w:rPr>
                <w:rFonts w:ascii="宋体" w:hAnsi="宋体" w:cs="宋体"/>
                <w:sz w:val="24"/>
              </w:rPr>
            </w:pPr>
            <w:r>
              <w:rPr>
                <w:rFonts w:hint="eastAsia" w:ascii="宋体" w:hAnsi="宋体" w:cs="宋体"/>
                <w:sz w:val="24"/>
              </w:rPr>
              <w:t>2</w:t>
            </w:r>
          </w:p>
        </w:tc>
        <w:tc>
          <w:tcPr>
            <w:tcW w:w="2541" w:type="dxa"/>
            <w:vAlign w:val="center"/>
          </w:tcPr>
          <w:p>
            <w:pPr>
              <w:widowControl/>
              <w:jc w:val="center"/>
              <w:textAlignment w:val="center"/>
              <w:rPr>
                <w:rFonts w:ascii="宋体" w:hAnsi="宋体" w:cs="宋体"/>
                <w:bCs/>
                <w:sz w:val="24"/>
              </w:rPr>
            </w:pPr>
          </w:p>
        </w:tc>
        <w:tc>
          <w:tcPr>
            <w:tcW w:w="1834" w:type="dxa"/>
            <w:vAlign w:val="center"/>
          </w:tcPr>
          <w:p>
            <w:pPr>
              <w:spacing w:line="500" w:lineRule="exact"/>
              <w:jc w:val="center"/>
              <w:rPr>
                <w:rFonts w:ascii="宋体" w:hAnsi="宋体" w:cs="宋体"/>
                <w:sz w:val="24"/>
              </w:rPr>
            </w:pPr>
          </w:p>
        </w:tc>
        <w:tc>
          <w:tcPr>
            <w:tcW w:w="1920" w:type="dxa"/>
            <w:vAlign w:val="center"/>
          </w:tcPr>
          <w:p>
            <w:pPr>
              <w:spacing w:line="500" w:lineRule="exact"/>
              <w:jc w:val="center"/>
              <w:rPr>
                <w:rFonts w:ascii="宋体" w:hAnsi="宋体" w:cs="宋体"/>
                <w:sz w:val="24"/>
              </w:rPr>
            </w:pPr>
          </w:p>
        </w:tc>
        <w:tc>
          <w:tcPr>
            <w:tcW w:w="2750" w:type="dxa"/>
            <w:vAlign w:val="center"/>
          </w:tcPr>
          <w:p>
            <w:pPr>
              <w:spacing w:line="50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94" w:hRule="exact"/>
          <w:jc w:val="center"/>
        </w:trPr>
        <w:tc>
          <w:tcPr>
            <w:tcW w:w="732" w:type="dxa"/>
            <w:vAlign w:val="center"/>
          </w:tcPr>
          <w:p>
            <w:pPr>
              <w:spacing w:line="500" w:lineRule="exact"/>
              <w:jc w:val="center"/>
              <w:rPr>
                <w:rFonts w:ascii="宋体" w:hAnsi="宋体" w:cs="宋体"/>
                <w:sz w:val="24"/>
              </w:rPr>
            </w:pPr>
            <w:r>
              <w:rPr>
                <w:rFonts w:hint="eastAsia" w:ascii="宋体" w:hAnsi="宋体" w:cs="宋体"/>
                <w:sz w:val="24"/>
              </w:rPr>
              <w:t>3</w:t>
            </w:r>
          </w:p>
        </w:tc>
        <w:tc>
          <w:tcPr>
            <w:tcW w:w="2541" w:type="dxa"/>
            <w:vAlign w:val="center"/>
          </w:tcPr>
          <w:p>
            <w:pPr>
              <w:widowControl/>
              <w:jc w:val="center"/>
              <w:textAlignment w:val="center"/>
              <w:rPr>
                <w:rFonts w:ascii="宋体" w:hAnsi="宋体" w:cs="宋体"/>
                <w:bCs/>
                <w:sz w:val="24"/>
              </w:rPr>
            </w:pPr>
          </w:p>
        </w:tc>
        <w:tc>
          <w:tcPr>
            <w:tcW w:w="1834" w:type="dxa"/>
            <w:vAlign w:val="center"/>
          </w:tcPr>
          <w:p>
            <w:pPr>
              <w:spacing w:line="500" w:lineRule="exact"/>
              <w:jc w:val="center"/>
              <w:rPr>
                <w:rFonts w:ascii="宋体" w:hAnsi="宋体" w:cs="宋体"/>
                <w:sz w:val="24"/>
              </w:rPr>
            </w:pPr>
          </w:p>
        </w:tc>
        <w:tc>
          <w:tcPr>
            <w:tcW w:w="1920" w:type="dxa"/>
            <w:vAlign w:val="center"/>
          </w:tcPr>
          <w:p>
            <w:pPr>
              <w:spacing w:line="500" w:lineRule="exact"/>
              <w:jc w:val="center"/>
              <w:rPr>
                <w:rFonts w:ascii="宋体" w:hAnsi="宋体" w:cs="宋体"/>
                <w:sz w:val="24"/>
              </w:rPr>
            </w:pPr>
          </w:p>
        </w:tc>
        <w:tc>
          <w:tcPr>
            <w:tcW w:w="2750" w:type="dxa"/>
            <w:vAlign w:val="center"/>
          </w:tcPr>
          <w:p>
            <w:pPr>
              <w:spacing w:line="500" w:lineRule="exact"/>
              <w:jc w:val="center"/>
              <w:rPr>
                <w:rFonts w:ascii="宋体" w:hAnsi="宋体" w:cs="宋体"/>
                <w:sz w:val="24"/>
              </w:rPr>
            </w:pPr>
          </w:p>
        </w:tc>
      </w:tr>
    </w:tbl>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比选申请人名称：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(加盖公章)</w:t>
      </w:r>
    </w:p>
    <w:p>
      <w:pPr>
        <w:spacing w:line="360" w:lineRule="auto"/>
        <w:rPr>
          <w:rFonts w:ascii="宋体" w:hAnsi="宋体" w:cs="宋体"/>
          <w:sz w:val="24"/>
        </w:rPr>
      </w:pPr>
      <w:r>
        <w:rPr>
          <w:rFonts w:hint="eastAsia" w:ascii="宋体" w:hAnsi="宋体" w:cs="宋体"/>
          <w:sz w:val="24"/>
        </w:rPr>
        <w:t>法定代表人或代理人：</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（签字）</w:t>
      </w:r>
    </w:p>
    <w:p>
      <w:pPr>
        <w:rPr>
          <w:rFonts w:ascii="宋体" w:hAnsi="宋体" w:cs="宋体"/>
          <w:sz w:val="24"/>
        </w:rPr>
      </w:pPr>
      <w:r>
        <w:rPr>
          <w:rFonts w:hint="eastAsia" w:ascii="宋体" w:hAnsi="宋体" w:cs="宋体"/>
          <w:sz w:val="24"/>
        </w:rPr>
        <w:t xml:space="preserve">日 期： </w:t>
      </w:r>
    </w:p>
    <w:p>
      <w:pPr>
        <w:rPr>
          <w:rFonts w:ascii="宋体" w:hAnsi="宋体" w:cs="宋体"/>
        </w:rPr>
      </w:pPr>
    </w:p>
    <w:p>
      <w:pPr>
        <w:pStyle w:val="16"/>
        <w:rPr>
          <w:rFonts w:ascii="宋体" w:hAnsi="宋体" w:cs="宋体"/>
        </w:rPr>
      </w:pPr>
    </w:p>
    <w:p>
      <w:pPr>
        <w:pStyle w:val="16"/>
        <w:rPr>
          <w:rFonts w:ascii="宋体" w:hAnsi="宋体" w:cs="宋体"/>
        </w:rPr>
      </w:pPr>
    </w:p>
    <w:p>
      <w:pPr>
        <w:pStyle w:val="5"/>
        <w:tabs>
          <w:tab w:val="left" w:pos="567"/>
        </w:tabs>
        <w:rPr>
          <w:rFonts w:ascii="宋体" w:hAnsi="宋体" w:cs="宋体"/>
        </w:rPr>
      </w:pPr>
    </w:p>
    <w:p>
      <w:pPr>
        <w:rPr>
          <w:rFonts w:ascii="宋体" w:hAnsi="宋体" w:cs="宋体"/>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6"/>
        <w:keepNext w:val="0"/>
        <w:keepLines w:val="0"/>
        <w:spacing w:before="100" w:beforeAutospacing="1" w:after="100" w:afterAutospacing="1"/>
        <w:rPr>
          <w:rFonts w:ascii="宋体" w:hAnsi="宋体" w:eastAsia="宋体" w:cs="宋体"/>
          <w:sz w:val="30"/>
          <w:szCs w:val="30"/>
        </w:rPr>
      </w:pPr>
      <w:r>
        <w:rPr>
          <w:rFonts w:hint="eastAsia" w:ascii="宋体" w:hAnsi="宋体" w:eastAsia="宋体" w:cs="宋体"/>
          <w:sz w:val="30"/>
          <w:szCs w:val="30"/>
        </w:rPr>
        <w:t>9、技术参数应答表</w:t>
      </w:r>
    </w:p>
    <w:p>
      <w:pPr>
        <w:pStyle w:val="53"/>
        <w:spacing w:line="240" w:lineRule="auto"/>
        <w:ind w:firstLine="0"/>
        <w:rPr>
          <w:rFonts w:ascii="宋体" w:hAnsi="宋体"/>
          <w:b/>
          <w:sz w:val="24"/>
          <w:szCs w:val="24"/>
        </w:rPr>
      </w:pPr>
      <w:r>
        <w:rPr>
          <w:rFonts w:hint="eastAsia" w:ascii="宋体" w:hAnsi="宋体"/>
          <w:b/>
          <w:sz w:val="24"/>
          <w:szCs w:val="24"/>
        </w:rPr>
        <w:t>采购项目名称：</w:t>
      </w:r>
    </w:p>
    <w:tbl>
      <w:tblPr>
        <w:tblStyle w:val="36"/>
        <w:tblpPr w:leftFromText="180" w:rightFromText="180" w:vertAnchor="text" w:horzAnchor="page" w:tblpX="1479" w:tblpY="619"/>
        <w:tblOverlap w:val="never"/>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92"/>
        <w:gridCol w:w="1746"/>
        <w:gridCol w:w="1687"/>
        <w:gridCol w:w="1575"/>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721" w:type="dxa"/>
            <w:vAlign w:val="center"/>
          </w:tcPr>
          <w:p>
            <w:pPr>
              <w:spacing w:line="360" w:lineRule="atLeast"/>
              <w:jc w:val="center"/>
              <w:rPr>
                <w:rFonts w:ascii="宋体" w:hAnsi="宋体" w:cs="宋体"/>
                <w:sz w:val="24"/>
              </w:rPr>
            </w:pPr>
            <w:r>
              <w:rPr>
                <w:rFonts w:hint="eastAsia" w:ascii="宋体" w:hAnsi="宋体" w:cs="宋体"/>
                <w:sz w:val="24"/>
              </w:rPr>
              <w:t>序号</w:t>
            </w:r>
          </w:p>
        </w:tc>
        <w:tc>
          <w:tcPr>
            <w:tcW w:w="1592" w:type="dxa"/>
            <w:vAlign w:val="center"/>
          </w:tcPr>
          <w:p>
            <w:pPr>
              <w:spacing w:line="360" w:lineRule="atLeast"/>
              <w:jc w:val="center"/>
              <w:rPr>
                <w:rFonts w:ascii="宋体" w:hAnsi="宋体" w:cs="宋体"/>
                <w:sz w:val="24"/>
              </w:rPr>
            </w:pPr>
            <w:r>
              <w:rPr>
                <w:rFonts w:hint="eastAsia" w:ascii="宋体" w:hAnsi="宋体" w:cs="宋体"/>
                <w:sz w:val="24"/>
              </w:rPr>
              <w:t>设备名称</w:t>
            </w:r>
          </w:p>
        </w:tc>
        <w:tc>
          <w:tcPr>
            <w:tcW w:w="1746" w:type="dxa"/>
            <w:vAlign w:val="center"/>
          </w:tcPr>
          <w:p>
            <w:pPr>
              <w:spacing w:line="360" w:lineRule="atLeast"/>
              <w:jc w:val="center"/>
              <w:rPr>
                <w:rFonts w:ascii="宋体" w:hAnsi="宋体" w:cs="宋体"/>
                <w:sz w:val="24"/>
              </w:rPr>
            </w:pPr>
            <w:r>
              <w:rPr>
                <w:rFonts w:hint="eastAsia" w:ascii="宋体" w:hAnsi="宋体" w:cs="宋体"/>
                <w:sz w:val="24"/>
              </w:rPr>
              <w:t>比选文件</w:t>
            </w:r>
          </w:p>
          <w:p>
            <w:pPr>
              <w:spacing w:line="360" w:lineRule="atLeast"/>
              <w:jc w:val="center"/>
              <w:rPr>
                <w:rFonts w:ascii="宋体" w:hAnsi="宋体" w:cs="宋体"/>
                <w:sz w:val="24"/>
              </w:rPr>
            </w:pPr>
            <w:r>
              <w:rPr>
                <w:rFonts w:hint="eastAsia" w:ascii="宋体" w:hAnsi="宋体" w:cs="宋体"/>
                <w:sz w:val="24"/>
              </w:rPr>
              <w:t>技术参数条款</w:t>
            </w:r>
          </w:p>
        </w:tc>
        <w:tc>
          <w:tcPr>
            <w:tcW w:w="1687" w:type="dxa"/>
            <w:vAlign w:val="center"/>
          </w:tcPr>
          <w:p>
            <w:pPr>
              <w:spacing w:line="360" w:lineRule="atLeast"/>
              <w:jc w:val="center"/>
              <w:rPr>
                <w:rFonts w:ascii="宋体" w:hAnsi="宋体" w:cs="宋体"/>
                <w:sz w:val="24"/>
              </w:rPr>
            </w:pPr>
            <w:r>
              <w:rPr>
                <w:rFonts w:hint="eastAsia" w:ascii="宋体" w:hAnsi="宋体" w:cs="宋体"/>
                <w:sz w:val="24"/>
              </w:rPr>
              <w:t>投标应答</w:t>
            </w:r>
          </w:p>
        </w:tc>
        <w:tc>
          <w:tcPr>
            <w:tcW w:w="1575" w:type="dxa"/>
            <w:vAlign w:val="center"/>
          </w:tcPr>
          <w:p>
            <w:pPr>
              <w:spacing w:line="360" w:lineRule="atLeast"/>
              <w:jc w:val="center"/>
              <w:rPr>
                <w:rFonts w:ascii="宋体" w:hAnsi="宋体" w:cs="宋体"/>
                <w:sz w:val="24"/>
              </w:rPr>
            </w:pPr>
            <w:bookmarkStart w:id="139" w:name="_Toc491724577"/>
            <w:r>
              <w:rPr>
                <w:rFonts w:hint="eastAsia"/>
                <w:sz w:val="24"/>
              </w:rPr>
              <w:t>响应/偏离</w:t>
            </w:r>
            <w:bookmarkEnd w:id="139"/>
          </w:p>
        </w:tc>
        <w:tc>
          <w:tcPr>
            <w:tcW w:w="1996" w:type="dxa"/>
            <w:vAlign w:val="center"/>
          </w:tcPr>
          <w:p>
            <w:pPr>
              <w:spacing w:line="500" w:lineRule="exact"/>
              <w:jc w:val="center"/>
              <w:rPr>
                <w:rFonts w:ascii="宋体" w:hAnsi="宋体" w:cs="宋体"/>
                <w:sz w:val="24"/>
              </w:rPr>
            </w:pPr>
            <w:r>
              <w:rPr>
                <w:rFonts w:hint="eastAsia" w:ascii="宋体" w:hAnsi="宋体" w:cs="宋体"/>
                <w:sz w:val="24"/>
              </w:rPr>
              <w:t>说明</w:t>
            </w:r>
          </w:p>
          <w:p>
            <w:pPr>
              <w:spacing w:line="360" w:lineRule="atLeast"/>
              <w:jc w:val="center"/>
              <w:rPr>
                <w:sz w:val="24"/>
              </w:rPr>
            </w:pPr>
            <w:r>
              <w:rPr>
                <w:rFonts w:hint="eastAsia" w:ascii="宋体" w:hAnsi="宋体" w:cs="宋体"/>
                <w:sz w:val="24"/>
              </w:rPr>
              <w:t>（若有偏离请详细列出）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721" w:type="dxa"/>
          </w:tcPr>
          <w:p>
            <w:pPr>
              <w:spacing w:line="360" w:lineRule="atLeast"/>
              <w:ind w:firstLine="470" w:firstLineChars="196"/>
              <w:rPr>
                <w:rFonts w:ascii="宋体" w:hAnsi="宋体" w:cs="宋体"/>
                <w:sz w:val="24"/>
              </w:rPr>
            </w:pPr>
          </w:p>
        </w:tc>
        <w:tc>
          <w:tcPr>
            <w:tcW w:w="1592" w:type="dxa"/>
          </w:tcPr>
          <w:p>
            <w:pPr>
              <w:spacing w:line="360" w:lineRule="atLeast"/>
              <w:ind w:firstLine="470" w:firstLineChars="196"/>
              <w:rPr>
                <w:rFonts w:ascii="宋体" w:hAnsi="宋体" w:cs="宋体"/>
                <w:sz w:val="24"/>
              </w:rPr>
            </w:pPr>
          </w:p>
        </w:tc>
        <w:tc>
          <w:tcPr>
            <w:tcW w:w="1746" w:type="dxa"/>
          </w:tcPr>
          <w:p>
            <w:pPr>
              <w:spacing w:line="360" w:lineRule="atLeast"/>
              <w:ind w:firstLine="470" w:firstLineChars="196"/>
              <w:rPr>
                <w:rFonts w:ascii="宋体" w:hAnsi="宋体" w:cs="宋体"/>
                <w:sz w:val="24"/>
              </w:rPr>
            </w:pPr>
          </w:p>
        </w:tc>
        <w:tc>
          <w:tcPr>
            <w:tcW w:w="1687" w:type="dxa"/>
          </w:tcPr>
          <w:p>
            <w:pPr>
              <w:spacing w:line="360" w:lineRule="atLeast"/>
              <w:ind w:firstLine="470" w:firstLineChars="196"/>
              <w:rPr>
                <w:rFonts w:ascii="宋体" w:hAnsi="宋体" w:cs="宋体"/>
                <w:sz w:val="24"/>
              </w:rPr>
            </w:pPr>
          </w:p>
        </w:tc>
        <w:tc>
          <w:tcPr>
            <w:tcW w:w="1575" w:type="dxa"/>
          </w:tcPr>
          <w:p>
            <w:pPr>
              <w:spacing w:line="360" w:lineRule="atLeast"/>
              <w:ind w:firstLine="470" w:firstLineChars="196"/>
              <w:rPr>
                <w:rFonts w:ascii="宋体" w:hAnsi="宋体" w:cs="宋体"/>
                <w:sz w:val="24"/>
              </w:rPr>
            </w:pPr>
          </w:p>
        </w:tc>
        <w:tc>
          <w:tcPr>
            <w:tcW w:w="1996" w:type="dxa"/>
          </w:tcPr>
          <w:p>
            <w:pPr>
              <w:spacing w:line="360" w:lineRule="atLeast"/>
              <w:ind w:firstLine="470" w:firstLineChars="196"/>
              <w:rPr>
                <w:rFonts w:ascii="宋体" w:hAnsi="宋体" w:cs="宋体"/>
                <w:sz w:val="24"/>
              </w:rPr>
            </w:pPr>
          </w:p>
        </w:tc>
      </w:tr>
    </w:tbl>
    <w:p>
      <w:pPr>
        <w:pStyle w:val="5"/>
        <w:tabs>
          <w:tab w:val="left" w:pos="567"/>
        </w:tabs>
        <w:rPr>
          <w:rFonts w:ascii="宋体" w:hAnsi="宋体" w:cs="宋体"/>
        </w:rPr>
      </w:pPr>
    </w:p>
    <w:p>
      <w:pPr>
        <w:spacing w:line="360" w:lineRule="auto"/>
        <w:rPr>
          <w:rFonts w:ascii="宋体" w:hAnsi="宋体" w:cs="宋体"/>
          <w:sz w:val="24"/>
        </w:rPr>
      </w:pPr>
      <w:r>
        <w:rPr>
          <w:rFonts w:hint="eastAsia" w:ascii="宋体" w:hAnsi="宋体" w:cs="宋体"/>
          <w:sz w:val="24"/>
        </w:rPr>
        <w:t>比选申请人名称：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(加盖公章)</w:t>
      </w:r>
    </w:p>
    <w:p>
      <w:pPr>
        <w:spacing w:line="360" w:lineRule="auto"/>
        <w:rPr>
          <w:rFonts w:ascii="宋体" w:hAnsi="宋体" w:cs="宋体"/>
          <w:sz w:val="24"/>
        </w:rPr>
      </w:pPr>
      <w:r>
        <w:rPr>
          <w:rFonts w:hint="eastAsia" w:ascii="宋体" w:hAnsi="宋体" w:cs="宋体"/>
          <w:sz w:val="24"/>
        </w:rPr>
        <w:t>法定代表人或代理人：</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（签字）</w:t>
      </w:r>
    </w:p>
    <w:p>
      <w:pPr>
        <w:rPr>
          <w:rFonts w:ascii="宋体" w:hAnsi="宋体" w:cs="宋体"/>
          <w:sz w:val="24"/>
        </w:rPr>
      </w:pPr>
      <w:r>
        <w:rPr>
          <w:rFonts w:hint="eastAsia" w:ascii="宋体" w:hAnsi="宋体" w:cs="宋体"/>
          <w:sz w:val="24"/>
        </w:rPr>
        <w:t xml:space="preserve">日 期： </w:t>
      </w:r>
    </w:p>
    <w:p>
      <w:pPr>
        <w:pStyle w:val="5"/>
        <w:tabs>
          <w:tab w:val="left" w:pos="567"/>
        </w:tabs>
        <w:rPr>
          <w:rFonts w:ascii="宋体" w:hAnsi="宋体" w:cs="宋体"/>
        </w:rPr>
      </w:pPr>
    </w:p>
    <w:p>
      <w:pPr>
        <w:pStyle w:val="5"/>
        <w:tabs>
          <w:tab w:val="left" w:pos="567"/>
        </w:tabs>
        <w:rPr>
          <w:rFonts w:ascii="宋体" w:hAnsi="宋体" w:cs="宋体"/>
        </w:rPr>
      </w:pPr>
      <w:r>
        <w:rPr>
          <w:rFonts w:hint="eastAsia" w:ascii="宋体" w:hAnsi="宋体" w:cs="宋体"/>
        </w:rPr>
        <w:br w:type="page"/>
      </w:r>
      <w:r>
        <w:rPr>
          <w:rFonts w:hint="eastAsia" w:ascii="宋体" w:hAnsi="宋体" w:cs="宋体"/>
        </w:rPr>
        <w:t>10.相关资格承诺函</w:t>
      </w:r>
    </w:p>
    <w:p>
      <w:pPr>
        <w:spacing w:line="560" w:lineRule="exact"/>
        <w:rPr>
          <w:rFonts w:ascii="宋体" w:hAnsi="宋体" w:cs="宋体"/>
          <w:sz w:val="24"/>
        </w:rPr>
      </w:pPr>
      <w:r>
        <w:rPr>
          <w:rFonts w:hint="eastAsia" w:ascii="宋体" w:hAnsi="宋体" w:cs="宋体"/>
          <w:sz w:val="24"/>
        </w:rPr>
        <w:t>采购项目名称：</w:t>
      </w:r>
    </w:p>
    <w:p>
      <w:pPr>
        <w:spacing w:line="560" w:lineRule="exact"/>
        <w:ind w:firstLine="461" w:firstLineChars="192"/>
        <w:rPr>
          <w:rFonts w:ascii="宋体" w:hAnsi="宋体" w:cs="宋体"/>
          <w:b/>
          <w:sz w:val="24"/>
        </w:rPr>
      </w:pPr>
    </w:p>
    <w:p>
      <w:pPr>
        <w:spacing w:line="560" w:lineRule="exact"/>
        <w:rPr>
          <w:rFonts w:ascii="宋体" w:hAnsi="宋体" w:cs="宋体"/>
          <w:sz w:val="24"/>
        </w:rPr>
      </w:pPr>
      <w:r>
        <w:rPr>
          <w:rFonts w:hint="eastAsia" w:ascii="宋体" w:hAnsi="宋体" w:cs="宋体"/>
          <w:sz w:val="24"/>
        </w:rPr>
        <w:t>四川省成都市</w:t>
      </w:r>
      <w:r>
        <w:rPr>
          <w:rFonts w:hint="eastAsia" w:ascii="宋体" w:hAnsi="宋体" w:cs="宋体"/>
          <w:sz w:val="24"/>
          <w:lang w:eastAsia="zh-Hans"/>
        </w:rPr>
        <w:t>第七中学初中学校</w:t>
      </w:r>
      <w:r>
        <w:rPr>
          <w:rFonts w:hint="eastAsia" w:ascii="宋体" w:hAnsi="宋体" w:cs="宋体"/>
          <w:sz w:val="24"/>
        </w:rPr>
        <w:t>：</w:t>
      </w:r>
    </w:p>
    <w:p>
      <w:pPr>
        <w:spacing w:line="560" w:lineRule="exact"/>
        <w:ind w:firstLine="480" w:firstLineChars="200"/>
        <w:rPr>
          <w:rFonts w:ascii="宋体" w:hAnsi="宋体" w:cs="宋体"/>
          <w:sz w:val="24"/>
        </w:rPr>
      </w:pPr>
      <w:bookmarkStart w:id="140" w:name="_Toc475862731"/>
      <w:bookmarkStart w:id="141" w:name="_Toc475862240"/>
      <w:r>
        <w:rPr>
          <w:rFonts w:hint="eastAsia" w:ascii="宋体" w:hAnsi="宋体" w:cs="宋体"/>
          <w:sz w:val="24"/>
        </w:rPr>
        <w:t>我公司作为本次采购项目的供应商，根据比选文件要求，现郑重承诺如下：</w:t>
      </w:r>
      <w:bookmarkEnd w:id="140"/>
      <w:bookmarkEnd w:id="141"/>
    </w:p>
    <w:p>
      <w:pPr>
        <w:spacing w:line="560" w:lineRule="exact"/>
        <w:ind w:firstLine="480" w:firstLineChars="200"/>
        <w:rPr>
          <w:rFonts w:ascii="宋体" w:hAnsi="宋体" w:cs="宋体"/>
          <w:sz w:val="24"/>
        </w:rPr>
      </w:pPr>
      <w:bookmarkStart w:id="142" w:name="_Toc475862732"/>
      <w:bookmarkStart w:id="143" w:name="_Toc475862241"/>
      <w:r>
        <w:rPr>
          <w:rFonts w:hint="eastAsia" w:ascii="宋体" w:hAnsi="宋体" w:cs="宋体"/>
          <w:sz w:val="24"/>
        </w:rPr>
        <w:t>一、具备《中华人民共和国政府采购法》第二十二条第一款和本项目规定的条件：</w:t>
      </w:r>
      <w:bookmarkEnd w:id="142"/>
      <w:bookmarkEnd w:id="143"/>
    </w:p>
    <w:p>
      <w:pPr>
        <w:spacing w:line="560" w:lineRule="exact"/>
        <w:ind w:firstLine="480" w:firstLineChars="200"/>
        <w:rPr>
          <w:rFonts w:ascii="宋体" w:hAnsi="宋体" w:cs="宋体"/>
          <w:sz w:val="24"/>
        </w:rPr>
      </w:pPr>
      <w:bookmarkStart w:id="144" w:name="_Toc475862242"/>
      <w:bookmarkStart w:id="145" w:name="_Toc475862733"/>
      <w:r>
        <w:rPr>
          <w:rFonts w:hint="eastAsia" w:ascii="宋体" w:hAnsi="宋体" w:cs="宋体"/>
          <w:sz w:val="24"/>
        </w:rPr>
        <w:t xml:space="preserve">（一）具有独立承担民事责任的能力； </w:t>
      </w:r>
      <w:r>
        <w:rPr>
          <w:rFonts w:hint="eastAsia" w:ascii="宋体" w:hAnsi="宋体" w:cs="宋体"/>
          <w:sz w:val="24"/>
        </w:rPr>
        <w:br w:type="textWrapping"/>
      </w:r>
      <w:r>
        <w:rPr>
          <w:rFonts w:hint="eastAsia" w:ascii="宋体" w:hAnsi="宋体" w:cs="宋体"/>
          <w:sz w:val="24"/>
        </w:rPr>
        <w:t xml:space="preserve">　　（二）具有良好的商业信誉和健全的财务会计制度； </w:t>
      </w:r>
      <w:r>
        <w:rPr>
          <w:rFonts w:hint="eastAsia" w:ascii="宋体" w:hAnsi="宋体" w:cs="宋体"/>
          <w:sz w:val="24"/>
        </w:rPr>
        <w:br w:type="textWrapping"/>
      </w:r>
      <w:r>
        <w:rPr>
          <w:rFonts w:hint="eastAsia" w:ascii="宋体" w:hAnsi="宋体" w:cs="宋体"/>
          <w:sz w:val="24"/>
        </w:rPr>
        <w:t xml:space="preserve">　　（三）具有履行合同所必需的设备和专业技术能力； </w:t>
      </w:r>
      <w:r>
        <w:rPr>
          <w:rFonts w:hint="eastAsia" w:ascii="宋体" w:hAnsi="宋体" w:cs="宋体"/>
          <w:sz w:val="24"/>
        </w:rPr>
        <w:br w:type="textWrapping"/>
      </w:r>
      <w:r>
        <w:rPr>
          <w:rFonts w:hint="eastAsia" w:ascii="宋体" w:hAnsi="宋体" w:cs="宋体"/>
          <w:sz w:val="24"/>
        </w:rPr>
        <w:t xml:space="preserve">　　（四）有依法缴纳税收和社会保障资金的良好记录； </w:t>
      </w:r>
      <w:r>
        <w:rPr>
          <w:rFonts w:hint="eastAsia" w:ascii="宋体" w:hAnsi="宋体" w:cs="宋体"/>
          <w:sz w:val="24"/>
        </w:rPr>
        <w:br w:type="textWrapping"/>
      </w:r>
      <w:r>
        <w:rPr>
          <w:rFonts w:hint="eastAsia" w:ascii="宋体" w:hAnsi="宋体" w:cs="宋体"/>
          <w:sz w:val="24"/>
        </w:rPr>
        <w:t>　　（五）参加政府采购活动前三年内，在经营活动中没有重大违法记录；</w:t>
      </w:r>
      <w:bookmarkEnd w:id="144"/>
      <w:bookmarkEnd w:id="145"/>
    </w:p>
    <w:p>
      <w:pPr>
        <w:spacing w:line="560" w:lineRule="exact"/>
        <w:ind w:firstLine="480" w:firstLineChars="200"/>
        <w:rPr>
          <w:rFonts w:ascii="宋体" w:hAnsi="宋体" w:cs="宋体"/>
          <w:sz w:val="24"/>
        </w:rPr>
      </w:pPr>
      <w:bookmarkStart w:id="146" w:name="_Toc475862243"/>
      <w:bookmarkStart w:id="147" w:name="_Toc475862734"/>
      <w:r>
        <w:rPr>
          <w:rFonts w:hint="eastAsia" w:ascii="宋体" w:hAnsi="宋体" w:cs="宋体"/>
          <w:sz w:val="24"/>
        </w:rPr>
        <w:t>（六）法律、行政法规规定的其他条件；</w:t>
      </w:r>
      <w:bookmarkEnd w:id="146"/>
      <w:bookmarkEnd w:id="147"/>
    </w:p>
    <w:p>
      <w:pPr>
        <w:spacing w:line="560" w:lineRule="exact"/>
        <w:ind w:firstLine="480" w:firstLineChars="200"/>
        <w:rPr>
          <w:rFonts w:ascii="宋体" w:hAnsi="宋体" w:cs="宋体"/>
          <w:sz w:val="24"/>
        </w:rPr>
      </w:pPr>
      <w:bookmarkStart w:id="148" w:name="_Toc475862736"/>
      <w:bookmarkStart w:id="149" w:name="_Toc475862245"/>
      <w:r>
        <w:rPr>
          <w:rFonts w:hint="eastAsia" w:ascii="宋体" w:hAnsi="宋体" w:cs="宋体"/>
          <w:sz w:val="24"/>
        </w:rPr>
        <w:t>二、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bookmarkEnd w:id="148"/>
      <w:bookmarkEnd w:id="149"/>
    </w:p>
    <w:p>
      <w:pPr>
        <w:spacing w:line="560" w:lineRule="exact"/>
        <w:ind w:firstLine="480" w:firstLineChars="200"/>
        <w:rPr>
          <w:rFonts w:ascii="宋体" w:hAnsi="宋体" w:cs="宋体"/>
          <w:sz w:val="24"/>
        </w:rPr>
      </w:pPr>
      <w:bookmarkStart w:id="150" w:name="_Toc475862737"/>
      <w:bookmarkStart w:id="151" w:name="_Toc475862246"/>
      <w:r>
        <w:rPr>
          <w:rFonts w:hint="eastAsia" w:ascii="宋体" w:hAnsi="宋体" w:cs="宋体"/>
          <w:sz w:val="24"/>
        </w:rPr>
        <w:t>三、参加本次比选采购活动，不存在与单位负责人为同一人或者存在直接控股、管理关系的其他供应商参与同一合同项下的政府采购活动的行为。</w:t>
      </w:r>
      <w:bookmarkEnd w:id="150"/>
      <w:bookmarkEnd w:id="151"/>
    </w:p>
    <w:p>
      <w:pPr>
        <w:spacing w:line="560" w:lineRule="exact"/>
        <w:ind w:firstLine="480" w:firstLineChars="200"/>
        <w:rPr>
          <w:rFonts w:ascii="宋体" w:hAnsi="宋体" w:cs="宋体"/>
          <w:sz w:val="24"/>
        </w:rPr>
      </w:pPr>
      <w:bookmarkStart w:id="152" w:name="_Toc475862247"/>
      <w:bookmarkStart w:id="153" w:name="_Toc475862738"/>
      <w:r>
        <w:rPr>
          <w:rFonts w:hint="eastAsia" w:ascii="宋体" w:hAnsi="宋体" w:cs="宋体"/>
          <w:sz w:val="24"/>
        </w:rPr>
        <w:t>四、参加本次比选采购活动，不存在和其他供应商在同一合同项下的采购项目中，同时委托同一个自然人、同一家庭的人员、同一单位的人员作为授权代表的行为。</w:t>
      </w:r>
      <w:bookmarkEnd w:id="152"/>
      <w:bookmarkEnd w:id="153"/>
    </w:p>
    <w:p>
      <w:pPr>
        <w:spacing w:line="560" w:lineRule="exact"/>
        <w:ind w:firstLine="480" w:firstLineChars="200"/>
        <w:rPr>
          <w:rFonts w:ascii="宋体" w:hAnsi="宋体" w:cs="宋体"/>
          <w:sz w:val="24"/>
        </w:rPr>
      </w:pPr>
      <w:bookmarkStart w:id="154" w:name="_Toc475862248"/>
      <w:bookmarkStart w:id="155" w:name="_Toc475862739"/>
      <w:r>
        <w:rPr>
          <w:rFonts w:hint="eastAsia" w:ascii="宋体" w:hAnsi="宋体" w:cs="宋体"/>
          <w:sz w:val="24"/>
        </w:rPr>
        <w:t>五、如果有《四川省政府采购当事人诚信管理办法》（川财采[2015]33号）规定的记入诚信档案的失信行为，将在响应文件中全面如实反映。</w:t>
      </w:r>
      <w:bookmarkEnd w:id="154"/>
      <w:bookmarkEnd w:id="155"/>
    </w:p>
    <w:p>
      <w:pPr>
        <w:spacing w:line="560" w:lineRule="exact"/>
        <w:ind w:firstLine="480" w:firstLineChars="200"/>
        <w:rPr>
          <w:rFonts w:ascii="宋体" w:hAnsi="宋体" w:cs="宋体"/>
          <w:sz w:val="24"/>
        </w:rPr>
      </w:pPr>
      <w:bookmarkStart w:id="156" w:name="_Toc475862740"/>
      <w:bookmarkStart w:id="157" w:name="_Toc475862249"/>
      <w:r>
        <w:rPr>
          <w:rFonts w:hint="eastAsia" w:ascii="宋体" w:hAnsi="宋体" w:cs="宋体"/>
          <w:sz w:val="24"/>
        </w:rPr>
        <w:t>六、我公司未参与本次项目整体设计、规范编制或者项目管理、监理、检测等服务。</w:t>
      </w:r>
      <w:bookmarkEnd w:id="156"/>
      <w:bookmarkEnd w:id="157"/>
    </w:p>
    <w:p>
      <w:pPr>
        <w:spacing w:line="560" w:lineRule="exact"/>
        <w:ind w:firstLine="480" w:firstLineChars="200"/>
        <w:rPr>
          <w:rFonts w:ascii="宋体" w:hAnsi="宋体" w:cs="宋体"/>
          <w:sz w:val="24"/>
        </w:rPr>
      </w:pPr>
      <w:r>
        <w:rPr>
          <w:rFonts w:hint="eastAsia" w:ascii="宋体" w:hAnsi="宋体" w:cs="宋体"/>
          <w:sz w:val="24"/>
        </w:rPr>
        <w:t>七、我公司及现任法定代表人、主要负责人无行贿犯罪记录。</w:t>
      </w:r>
    </w:p>
    <w:p>
      <w:pPr>
        <w:spacing w:line="560" w:lineRule="exact"/>
        <w:ind w:firstLine="480" w:firstLineChars="200"/>
        <w:rPr>
          <w:rFonts w:ascii="宋体" w:hAnsi="宋体" w:cs="宋体"/>
          <w:sz w:val="24"/>
        </w:rPr>
      </w:pPr>
      <w:r>
        <w:rPr>
          <w:rFonts w:hint="eastAsia" w:ascii="宋体" w:hAnsi="宋体" w:cs="宋体"/>
          <w:sz w:val="24"/>
        </w:rPr>
        <w:t>八、我公司承诺与其他供应商之间不存在互相控股或者实际控制关系。</w:t>
      </w:r>
    </w:p>
    <w:p>
      <w:pPr>
        <w:spacing w:line="560" w:lineRule="exact"/>
        <w:ind w:firstLine="480" w:firstLineChars="200"/>
        <w:rPr>
          <w:rFonts w:ascii="宋体" w:hAnsi="宋体" w:cs="宋体"/>
          <w:sz w:val="24"/>
        </w:rPr>
      </w:pPr>
      <w:r>
        <w:rPr>
          <w:rFonts w:hint="eastAsia" w:ascii="宋体" w:hAnsi="宋体" w:cs="宋体"/>
          <w:sz w:val="24"/>
        </w:rPr>
        <w:t>九．我公司承诺与其他供应商的法定代表人或者负责人无夫妻、直系血亲、三代以内旁系血亲或者近姻亲关系。</w:t>
      </w:r>
    </w:p>
    <w:p>
      <w:pPr>
        <w:spacing w:line="560" w:lineRule="exact"/>
        <w:ind w:firstLine="480" w:firstLineChars="200"/>
        <w:rPr>
          <w:rFonts w:ascii="宋体" w:hAnsi="宋体" w:cs="宋体"/>
          <w:sz w:val="24"/>
        </w:rPr>
      </w:pPr>
      <w:bookmarkStart w:id="158" w:name="_Toc475862741"/>
      <w:bookmarkStart w:id="159" w:name="_Toc475862250"/>
      <w:r>
        <w:rPr>
          <w:rFonts w:hint="eastAsia" w:ascii="宋体" w:hAnsi="宋体" w:cs="宋体"/>
          <w:sz w:val="24"/>
        </w:rPr>
        <w:t>本公司对上述承诺的内容事项真实性负责。如经查实上述承诺的内容事项存在虚假，我公司愿意接受以提供虚假材料谋取中标追究法律责任。</w:t>
      </w:r>
      <w:bookmarkEnd w:id="158"/>
      <w:bookmarkEnd w:id="159"/>
    </w:p>
    <w:p>
      <w:pPr>
        <w:spacing w:line="560" w:lineRule="exact"/>
        <w:rPr>
          <w:rFonts w:ascii="宋体" w:hAnsi="宋体" w:cs="宋体"/>
          <w:sz w:val="24"/>
        </w:rPr>
      </w:pPr>
    </w:p>
    <w:p>
      <w:pPr>
        <w:pStyle w:val="4"/>
        <w:rPr>
          <w:rFonts w:cs="宋体"/>
        </w:rPr>
      </w:pPr>
    </w:p>
    <w:p>
      <w:pPr>
        <w:spacing w:line="560" w:lineRule="exact"/>
        <w:ind w:firstLine="480" w:firstLineChars="200"/>
        <w:rPr>
          <w:rFonts w:ascii="宋体" w:hAnsi="宋体" w:cs="宋体"/>
          <w:sz w:val="24"/>
        </w:rPr>
      </w:pPr>
      <w:r>
        <w:rPr>
          <w:rFonts w:hint="eastAsia" w:ascii="宋体" w:hAnsi="宋体" w:cs="宋体"/>
          <w:sz w:val="24"/>
        </w:rPr>
        <w:t>供应商名称（公章）：</w:t>
      </w:r>
    </w:p>
    <w:p>
      <w:pPr>
        <w:spacing w:line="560" w:lineRule="exact"/>
        <w:ind w:firstLine="480" w:firstLineChars="200"/>
        <w:rPr>
          <w:rFonts w:ascii="宋体" w:hAnsi="宋体" w:cs="宋体"/>
          <w:sz w:val="24"/>
        </w:rPr>
      </w:pPr>
      <w:r>
        <w:rPr>
          <w:rFonts w:hint="eastAsia" w:ascii="宋体" w:hAnsi="宋体" w:cs="宋体"/>
          <w:sz w:val="24"/>
        </w:rPr>
        <w:t>法定代表人或授权代表（签字）：</w:t>
      </w:r>
    </w:p>
    <w:p>
      <w:pPr>
        <w:spacing w:line="560" w:lineRule="exact"/>
        <w:ind w:firstLine="480" w:firstLineChars="200"/>
        <w:rPr>
          <w:rFonts w:ascii="宋体" w:hAnsi="宋体" w:cs="宋体"/>
          <w:sz w:val="24"/>
        </w:rPr>
      </w:pPr>
      <w:r>
        <w:rPr>
          <w:rFonts w:hint="eastAsia" w:ascii="宋体" w:hAnsi="宋体" w:cs="宋体"/>
          <w:sz w:val="24"/>
        </w:rPr>
        <w:t>日  期:</w:t>
      </w:r>
    </w:p>
    <w:p>
      <w:pPr>
        <w:pStyle w:val="5"/>
        <w:tabs>
          <w:tab w:val="left" w:pos="567"/>
        </w:tabs>
        <w:spacing w:line="560" w:lineRule="exact"/>
        <w:rPr>
          <w:rFonts w:ascii="宋体" w:hAnsi="宋体" w:cs="宋体"/>
          <w:sz w:val="24"/>
          <w:szCs w:val="24"/>
        </w:rPr>
        <w:sectPr>
          <w:footerReference r:id="rId11" w:type="first"/>
          <w:footerReference r:id="rId10" w:type="default"/>
          <w:pgSz w:w="11906" w:h="16838"/>
          <w:pgMar w:top="907" w:right="1797" w:bottom="680" w:left="1797" w:header="851" w:footer="992" w:gutter="0"/>
          <w:cols w:space="720" w:num="1"/>
          <w:titlePg/>
          <w:docGrid w:type="lines" w:linePitch="312" w:charSpace="0"/>
        </w:sectPr>
      </w:pPr>
    </w:p>
    <w:p>
      <w:pPr>
        <w:pStyle w:val="4"/>
        <w:tabs>
          <w:tab w:val="left" w:pos="0"/>
          <w:tab w:val="left" w:pos="6521"/>
        </w:tabs>
        <w:spacing w:line="560" w:lineRule="exact"/>
        <w:rPr>
          <w:rFonts w:cs="宋体"/>
          <w:bCs/>
          <w:sz w:val="32"/>
          <w:szCs w:val="32"/>
        </w:rPr>
      </w:pPr>
      <w:r>
        <w:rPr>
          <w:rFonts w:hint="eastAsia" w:cs="宋体"/>
          <w:bCs/>
          <w:sz w:val="32"/>
          <w:szCs w:val="32"/>
        </w:rPr>
        <w:t>11.比选申请人简介</w:t>
      </w:r>
    </w:p>
    <w:tbl>
      <w:tblPr>
        <w:tblStyle w:val="3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投标人名称</w:t>
            </w:r>
          </w:p>
        </w:tc>
        <w:tc>
          <w:tcPr>
            <w:tcW w:w="7006" w:type="dxa"/>
            <w:gridSpan w:val="8"/>
            <w:vAlign w:val="center"/>
          </w:tcPr>
          <w:p>
            <w:pPr>
              <w:autoSpaceDE w:val="0"/>
              <w:autoSpaceDN w:val="0"/>
              <w:adjustRightInd w:val="0"/>
              <w:spacing w:line="400" w:lineRule="exact"/>
              <w:jc w:val="center"/>
              <w:rPr>
                <w:rFonts w:ascii="宋体" w:hAnsi="宋体"/>
                <w:kern w:val="0"/>
                <w:szCs w:val="21"/>
              </w:rPr>
            </w:pPr>
          </w:p>
        </w:tc>
      </w:tr>
      <w:tr>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注册地址</w:t>
            </w:r>
          </w:p>
        </w:tc>
        <w:tc>
          <w:tcPr>
            <w:tcW w:w="3449" w:type="dxa"/>
            <w:gridSpan w:val="4"/>
            <w:vAlign w:val="center"/>
          </w:tcPr>
          <w:p>
            <w:pPr>
              <w:autoSpaceDE w:val="0"/>
              <w:autoSpaceDN w:val="0"/>
              <w:adjustRightInd w:val="0"/>
              <w:spacing w:line="400" w:lineRule="exact"/>
              <w:jc w:val="center"/>
              <w:rPr>
                <w:rFonts w:ascii="宋体" w:hAnsi="宋体"/>
                <w:kern w:val="0"/>
                <w:szCs w:val="21"/>
              </w:rPr>
            </w:pPr>
          </w:p>
        </w:tc>
        <w:tc>
          <w:tcPr>
            <w:tcW w:w="1318"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邮政编码</w:t>
            </w:r>
          </w:p>
        </w:tc>
        <w:tc>
          <w:tcPr>
            <w:tcW w:w="2239" w:type="dxa"/>
            <w:gridSpan w:val="3"/>
            <w:vAlign w:val="center"/>
          </w:tcPr>
          <w:p>
            <w:pPr>
              <w:autoSpaceDE w:val="0"/>
              <w:autoSpaceDN w:val="0"/>
              <w:adjustRightInd w:val="0"/>
              <w:spacing w:line="400" w:lineRule="exact"/>
              <w:jc w:val="center"/>
              <w:rPr>
                <w:rFonts w:ascii="宋体" w:hAnsi="宋体"/>
                <w:kern w:val="0"/>
                <w:szCs w:val="21"/>
              </w:rPr>
            </w:pPr>
          </w:p>
        </w:tc>
      </w:tr>
      <w:tr>
        <w:trPr>
          <w:cantSplit/>
          <w:trHeight w:val="442" w:hRule="atLeast"/>
          <w:jc w:val="center"/>
        </w:trPr>
        <w:tc>
          <w:tcPr>
            <w:tcW w:w="1516" w:type="dxa"/>
            <w:vMerge w:val="restart"/>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联系方式</w:t>
            </w:r>
          </w:p>
        </w:tc>
        <w:tc>
          <w:tcPr>
            <w:tcW w:w="978"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联系人</w:t>
            </w:r>
          </w:p>
        </w:tc>
        <w:tc>
          <w:tcPr>
            <w:tcW w:w="2463" w:type="dxa"/>
            <w:gridSpan w:val="2"/>
            <w:vAlign w:val="center"/>
          </w:tcPr>
          <w:p>
            <w:pPr>
              <w:autoSpaceDE w:val="0"/>
              <w:autoSpaceDN w:val="0"/>
              <w:adjustRightInd w:val="0"/>
              <w:spacing w:line="400" w:lineRule="exact"/>
              <w:jc w:val="center"/>
              <w:rPr>
                <w:rFonts w:ascii="宋体" w:hAnsi="宋体"/>
                <w:kern w:val="0"/>
                <w:szCs w:val="21"/>
              </w:rPr>
            </w:pPr>
          </w:p>
        </w:tc>
        <w:tc>
          <w:tcPr>
            <w:tcW w:w="1326" w:type="dxa"/>
            <w:gridSpan w:val="2"/>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2239" w:type="dxa"/>
            <w:gridSpan w:val="3"/>
            <w:vAlign w:val="center"/>
          </w:tcPr>
          <w:p>
            <w:pPr>
              <w:autoSpaceDE w:val="0"/>
              <w:autoSpaceDN w:val="0"/>
              <w:adjustRightInd w:val="0"/>
              <w:spacing w:line="400" w:lineRule="exact"/>
              <w:jc w:val="center"/>
              <w:rPr>
                <w:rFonts w:ascii="宋体" w:hAnsi="宋体"/>
                <w:kern w:val="0"/>
                <w:szCs w:val="21"/>
              </w:rPr>
            </w:pPr>
          </w:p>
        </w:tc>
      </w:tr>
      <w:tr>
        <w:trPr>
          <w:cantSplit/>
          <w:trHeight w:val="148" w:hRule="atLeast"/>
          <w:jc w:val="center"/>
        </w:trPr>
        <w:tc>
          <w:tcPr>
            <w:tcW w:w="1516" w:type="dxa"/>
            <w:vMerge w:val="continue"/>
            <w:vAlign w:val="center"/>
          </w:tcPr>
          <w:p>
            <w:pPr>
              <w:autoSpaceDE w:val="0"/>
              <w:autoSpaceDN w:val="0"/>
              <w:adjustRightInd w:val="0"/>
              <w:spacing w:line="400" w:lineRule="exact"/>
              <w:jc w:val="center"/>
              <w:rPr>
                <w:rFonts w:ascii="宋体" w:hAnsi="宋体"/>
                <w:kern w:val="0"/>
                <w:szCs w:val="21"/>
              </w:rPr>
            </w:pPr>
          </w:p>
        </w:tc>
        <w:tc>
          <w:tcPr>
            <w:tcW w:w="978"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传真</w:t>
            </w:r>
          </w:p>
        </w:tc>
        <w:tc>
          <w:tcPr>
            <w:tcW w:w="2463" w:type="dxa"/>
            <w:gridSpan w:val="2"/>
            <w:vAlign w:val="center"/>
          </w:tcPr>
          <w:p>
            <w:pPr>
              <w:autoSpaceDE w:val="0"/>
              <w:autoSpaceDN w:val="0"/>
              <w:adjustRightInd w:val="0"/>
              <w:spacing w:line="400" w:lineRule="exact"/>
              <w:jc w:val="center"/>
              <w:rPr>
                <w:rFonts w:ascii="宋体" w:hAnsi="宋体"/>
                <w:kern w:val="0"/>
                <w:szCs w:val="21"/>
              </w:rPr>
            </w:pPr>
          </w:p>
        </w:tc>
        <w:tc>
          <w:tcPr>
            <w:tcW w:w="1326" w:type="dxa"/>
            <w:gridSpan w:val="2"/>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邮箱</w:t>
            </w:r>
          </w:p>
        </w:tc>
        <w:tc>
          <w:tcPr>
            <w:tcW w:w="2239" w:type="dxa"/>
            <w:gridSpan w:val="3"/>
            <w:vAlign w:val="center"/>
          </w:tcPr>
          <w:p>
            <w:pPr>
              <w:autoSpaceDE w:val="0"/>
              <w:autoSpaceDN w:val="0"/>
              <w:adjustRightInd w:val="0"/>
              <w:spacing w:line="400" w:lineRule="exact"/>
              <w:jc w:val="center"/>
              <w:rPr>
                <w:rFonts w:ascii="宋体" w:hAnsi="宋体"/>
                <w:kern w:val="0"/>
                <w:szCs w:val="21"/>
              </w:rPr>
            </w:pPr>
          </w:p>
        </w:tc>
      </w:tr>
      <w:tr>
        <w:trPr>
          <w:trHeight w:val="462" w:hRule="atLeast"/>
          <w:jc w:val="center"/>
        </w:trPr>
        <w:tc>
          <w:tcPr>
            <w:tcW w:w="1516"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法定代表人</w:t>
            </w:r>
          </w:p>
        </w:tc>
        <w:tc>
          <w:tcPr>
            <w:tcW w:w="978"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1215" w:type="dxa"/>
            <w:vAlign w:val="center"/>
          </w:tcPr>
          <w:p>
            <w:pPr>
              <w:autoSpaceDE w:val="0"/>
              <w:autoSpaceDN w:val="0"/>
              <w:adjustRightInd w:val="0"/>
              <w:spacing w:line="400" w:lineRule="exact"/>
              <w:jc w:val="center"/>
              <w:rPr>
                <w:rFonts w:ascii="宋体" w:hAnsi="宋体"/>
                <w:kern w:val="0"/>
                <w:szCs w:val="21"/>
              </w:rPr>
            </w:pPr>
          </w:p>
        </w:tc>
        <w:tc>
          <w:tcPr>
            <w:tcW w:w="1248"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1326" w:type="dxa"/>
            <w:gridSpan w:val="2"/>
            <w:vAlign w:val="center"/>
          </w:tcPr>
          <w:p>
            <w:pPr>
              <w:autoSpaceDE w:val="0"/>
              <w:autoSpaceDN w:val="0"/>
              <w:adjustRightInd w:val="0"/>
              <w:spacing w:line="400" w:lineRule="exact"/>
              <w:jc w:val="center"/>
              <w:rPr>
                <w:rFonts w:ascii="宋体" w:hAnsi="宋体"/>
                <w:kern w:val="0"/>
                <w:szCs w:val="21"/>
              </w:rPr>
            </w:pPr>
          </w:p>
        </w:tc>
        <w:tc>
          <w:tcPr>
            <w:tcW w:w="1172" w:type="dxa"/>
            <w:gridSpan w:val="2"/>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1067" w:type="dxa"/>
            <w:vAlign w:val="center"/>
          </w:tcPr>
          <w:p>
            <w:pPr>
              <w:autoSpaceDE w:val="0"/>
              <w:autoSpaceDN w:val="0"/>
              <w:adjustRightInd w:val="0"/>
              <w:spacing w:line="400" w:lineRule="exact"/>
              <w:jc w:val="center"/>
              <w:rPr>
                <w:rFonts w:ascii="宋体" w:hAnsi="宋体"/>
                <w:bCs/>
                <w:kern w:val="0"/>
                <w:szCs w:val="21"/>
              </w:rPr>
            </w:pPr>
          </w:p>
        </w:tc>
      </w:tr>
      <w:tr>
        <w:trPr>
          <w:trHeight w:val="112" w:hRule="atLeast"/>
          <w:jc w:val="center"/>
        </w:trPr>
        <w:tc>
          <w:tcPr>
            <w:tcW w:w="1516" w:type="dxa"/>
            <w:tcBorders>
              <w:bottom w:val="single" w:color="auto" w:sz="4"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技术负责人</w:t>
            </w:r>
          </w:p>
        </w:tc>
        <w:tc>
          <w:tcPr>
            <w:tcW w:w="978" w:type="dxa"/>
            <w:tcBorders>
              <w:bottom w:val="single" w:color="auto" w:sz="4"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1215" w:type="dxa"/>
            <w:tcBorders>
              <w:bottom w:val="single" w:color="auto" w:sz="4" w:space="0"/>
            </w:tcBorders>
            <w:vAlign w:val="center"/>
          </w:tcPr>
          <w:p>
            <w:pPr>
              <w:autoSpaceDE w:val="0"/>
              <w:autoSpaceDN w:val="0"/>
              <w:adjustRightInd w:val="0"/>
              <w:spacing w:line="400" w:lineRule="exact"/>
              <w:jc w:val="center"/>
              <w:rPr>
                <w:rFonts w:ascii="宋体" w:hAnsi="宋体"/>
                <w:kern w:val="0"/>
                <w:szCs w:val="21"/>
              </w:rPr>
            </w:pPr>
          </w:p>
        </w:tc>
        <w:tc>
          <w:tcPr>
            <w:tcW w:w="1248" w:type="dxa"/>
            <w:tcBorders>
              <w:bottom w:val="single" w:color="auto" w:sz="4"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1326" w:type="dxa"/>
            <w:gridSpan w:val="2"/>
            <w:tcBorders>
              <w:bottom w:val="single" w:color="auto" w:sz="4" w:space="0"/>
            </w:tcBorders>
            <w:vAlign w:val="center"/>
          </w:tcPr>
          <w:p>
            <w:pPr>
              <w:autoSpaceDE w:val="0"/>
              <w:autoSpaceDN w:val="0"/>
              <w:adjustRightInd w:val="0"/>
              <w:spacing w:line="400" w:lineRule="exact"/>
              <w:jc w:val="center"/>
              <w:rPr>
                <w:rFonts w:ascii="宋体" w:hAnsi="宋体"/>
                <w:kern w:val="0"/>
                <w:szCs w:val="21"/>
              </w:rPr>
            </w:pPr>
          </w:p>
        </w:tc>
        <w:tc>
          <w:tcPr>
            <w:tcW w:w="1172" w:type="dxa"/>
            <w:gridSpan w:val="2"/>
            <w:tcBorders>
              <w:bottom w:val="single" w:color="auto" w:sz="4"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1067" w:type="dxa"/>
            <w:tcBorders>
              <w:bottom w:val="single" w:color="auto" w:sz="4" w:space="0"/>
            </w:tcBorders>
            <w:vAlign w:val="center"/>
          </w:tcPr>
          <w:p>
            <w:pPr>
              <w:autoSpaceDE w:val="0"/>
              <w:autoSpaceDN w:val="0"/>
              <w:adjustRightInd w:val="0"/>
              <w:spacing w:line="400" w:lineRule="exact"/>
              <w:jc w:val="center"/>
              <w:rPr>
                <w:rFonts w:ascii="宋体" w:hAnsi="宋体"/>
                <w:bCs/>
                <w:kern w:val="0"/>
                <w:szCs w:val="21"/>
              </w:rPr>
            </w:pPr>
          </w:p>
        </w:tc>
      </w:tr>
      <w:tr>
        <w:trPr>
          <w:trHeight w:val="318" w:hRule="atLeast"/>
          <w:jc w:val="center"/>
        </w:trPr>
        <w:tc>
          <w:tcPr>
            <w:tcW w:w="1516" w:type="dxa"/>
            <w:tcBorders>
              <w:top w:val="single" w:color="auto" w:sz="4"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财务负责人</w:t>
            </w:r>
          </w:p>
        </w:tc>
        <w:tc>
          <w:tcPr>
            <w:tcW w:w="978" w:type="dxa"/>
            <w:tcBorders>
              <w:top w:val="single" w:color="auto" w:sz="4"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1215" w:type="dxa"/>
            <w:tcBorders>
              <w:top w:val="single" w:color="auto" w:sz="4" w:space="0"/>
            </w:tcBorders>
            <w:vAlign w:val="center"/>
          </w:tcPr>
          <w:p>
            <w:pPr>
              <w:autoSpaceDE w:val="0"/>
              <w:autoSpaceDN w:val="0"/>
              <w:adjustRightInd w:val="0"/>
              <w:spacing w:line="400" w:lineRule="exact"/>
              <w:jc w:val="center"/>
              <w:rPr>
                <w:rFonts w:ascii="宋体" w:hAnsi="宋体"/>
                <w:kern w:val="0"/>
                <w:szCs w:val="21"/>
              </w:rPr>
            </w:pPr>
          </w:p>
        </w:tc>
        <w:tc>
          <w:tcPr>
            <w:tcW w:w="1248" w:type="dxa"/>
            <w:tcBorders>
              <w:top w:val="single" w:color="auto" w:sz="4"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1326" w:type="dxa"/>
            <w:gridSpan w:val="2"/>
            <w:tcBorders>
              <w:top w:val="single" w:color="auto" w:sz="4" w:space="0"/>
            </w:tcBorders>
            <w:vAlign w:val="center"/>
          </w:tcPr>
          <w:p>
            <w:pPr>
              <w:autoSpaceDE w:val="0"/>
              <w:autoSpaceDN w:val="0"/>
              <w:adjustRightInd w:val="0"/>
              <w:spacing w:line="400" w:lineRule="exact"/>
              <w:jc w:val="center"/>
              <w:rPr>
                <w:rFonts w:ascii="宋体" w:hAnsi="宋体"/>
                <w:kern w:val="0"/>
                <w:szCs w:val="21"/>
              </w:rPr>
            </w:pPr>
          </w:p>
        </w:tc>
        <w:tc>
          <w:tcPr>
            <w:tcW w:w="1172" w:type="dxa"/>
            <w:gridSpan w:val="2"/>
            <w:tcBorders>
              <w:top w:val="single" w:color="auto" w:sz="4"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1067" w:type="dxa"/>
            <w:tcBorders>
              <w:top w:val="single" w:color="auto" w:sz="4" w:space="0"/>
            </w:tcBorders>
            <w:vAlign w:val="center"/>
          </w:tcPr>
          <w:p>
            <w:pPr>
              <w:autoSpaceDE w:val="0"/>
              <w:autoSpaceDN w:val="0"/>
              <w:adjustRightInd w:val="0"/>
              <w:spacing w:line="400" w:lineRule="exact"/>
              <w:jc w:val="center"/>
              <w:rPr>
                <w:rFonts w:ascii="宋体" w:hAnsi="宋体"/>
                <w:bCs/>
                <w:kern w:val="0"/>
                <w:szCs w:val="21"/>
              </w:rPr>
            </w:pPr>
          </w:p>
        </w:tc>
      </w:tr>
      <w:tr>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成立时间</w:t>
            </w:r>
          </w:p>
        </w:tc>
        <w:tc>
          <w:tcPr>
            <w:tcW w:w="2193" w:type="dxa"/>
            <w:gridSpan w:val="2"/>
            <w:vAlign w:val="center"/>
          </w:tcPr>
          <w:p>
            <w:pPr>
              <w:autoSpaceDE w:val="0"/>
              <w:autoSpaceDN w:val="0"/>
              <w:adjustRightInd w:val="0"/>
              <w:spacing w:line="400" w:lineRule="exact"/>
              <w:jc w:val="center"/>
              <w:rPr>
                <w:rFonts w:ascii="宋体" w:hAnsi="宋体"/>
                <w:kern w:val="0"/>
                <w:szCs w:val="21"/>
              </w:rPr>
            </w:pPr>
          </w:p>
        </w:tc>
        <w:tc>
          <w:tcPr>
            <w:tcW w:w="4813" w:type="dxa"/>
            <w:gridSpan w:val="6"/>
            <w:vAlign w:val="center"/>
          </w:tcPr>
          <w:p>
            <w:pPr>
              <w:autoSpaceDE w:val="0"/>
              <w:autoSpaceDN w:val="0"/>
              <w:adjustRightInd w:val="0"/>
              <w:spacing w:line="400" w:lineRule="exact"/>
              <w:ind w:firstLine="1470" w:firstLineChars="700"/>
              <w:rPr>
                <w:rFonts w:ascii="宋体" w:hAnsi="宋体"/>
                <w:kern w:val="0"/>
                <w:szCs w:val="21"/>
              </w:rPr>
            </w:pPr>
            <w:r>
              <w:rPr>
                <w:rFonts w:hint="eastAsia" w:ascii="宋体" w:hAnsi="宋体"/>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企业资质等级</w:t>
            </w:r>
          </w:p>
        </w:tc>
        <w:tc>
          <w:tcPr>
            <w:tcW w:w="2193" w:type="dxa"/>
            <w:gridSpan w:val="2"/>
            <w:vAlign w:val="center"/>
          </w:tcPr>
          <w:p>
            <w:pPr>
              <w:autoSpaceDE w:val="0"/>
              <w:autoSpaceDN w:val="0"/>
              <w:adjustRightInd w:val="0"/>
              <w:spacing w:line="400" w:lineRule="exact"/>
              <w:jc w:val="center"/>
              <w:rPr>
                <w:rFonts w:ascii="宋体" w:hAnsi="宋体"/>
                <w:kern w:val="0"/>
                <w:szCs w:val="21"/>
              </w:rPr>
            </w:pPr>
          </w:p>
        </w:tc>
        <w:tc>
          <w:tcPr>
            <w:tcW w:w="1248" w:type="dxa"/>
            <w:vMerge w:val="restart"/>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其中</w:t>
            </w:r>
          </w:p>
        </w:tc>
        <w:tc>
          <w:tcPr>
            <w:tcW w:w="1486" w:type="dxa"/>
            <w:gridSpan w:val="3"/>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项目经理</w:t>
            </w:r>
          </w:p>
        </w:tc>
        <w:tc>
          <w:tcPr>
            <w:tcW w:w="2079" w:type="dxa"/>
            <w:gridSpan w:val="2"/>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营业执照号</w:t>
            </w:r>
          </w:p>
        </w:tc>
        <w:tc>
          <w:tcPr>
            <w:tcW w:w="2193" w:type="dxa"/>
            <w:gridSpan w:val="2"/>
            <w:vAlign w:val="center"/>
          </w:tcPr>
          <w:p>
            <w:pPr>
              <w:autoSpaceDE w:val="0"/>
              <w:autoSpaceDN w:val="0"/>
              <w:adjustRightInd w:val="0"/>
              <w:spacing w:line="400" w:lineRule="exact"/>
              <w:jc w:val="center"/>
              <w:rPr>
                <w:rFonts w:ascii="宋体" w:hAnsi="宋体"/>
                <w:kern w:val="0"/>
                <w:szCs w:val="21"/>
              </w:rPr>
            </w:pPr>
          </w:p>
        </w:tc>
        <w:tc>
          <w:tcPr>
            <w:tcW w:w="1248" w:type="dxa"/>
            <w:vMerge w:val="continue"/>
            <w:vAlign w:val="center"/>
          </w:tcPr>
          <w:p>
            <w:pPr>
              <w:autoSpaceDE w:val="0"/>
              <w:autoSpaceDN w:val="0"/>
              <w:adjustRightInd w:val="0"/>
              <w:spacing w:line="400" w:lineRule="exact"/>
              <w:jc w:val="center"/>
              <w:rPr>
                <w:rFonts w:ascii="宋体" w:hAnsi="宋体"/>
                <w:kern w:val="0"/>
                <w:szCs w:val="21"/>
              </w:rPr>
            </w:pPr>
          </w:p>
        </w:tc>
        <w:tc>
          <w:tcPr>
            <w:tcW w:w="1486" w:type="dxa"/>
            <w:gridSpan w:val="3"/>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高级职称人员</w:t>
            </w:r>
          </w:p>
        </w:tc>
        <w:tc>
          <w:tcPr>
            <w:tcW w:w="2079" w:type="dxa"/>
            <w:gridSpan w:val="2"/>
            <w:vAlign w:val="center"/>
          </w:tcPr>
          <w:p>
            <w:pPr>
              <w:autoSpaceDE w:val="0"/>
              <w:autoSpaceDN w:val="0"/>
              <w:adjustRightInd w:val="0"/>
              <w:spacing w:line="400" w:lineRule="exact"/>
              <w:jc w:val="center"/>
              <w:rPr>
                <w:rFonts w:ascii="宋体" w:hAnsi="宋体"/>
                <w:bCs/>
                <w:kern w:val="0"/>
                <w:szCs w:val="21"/>
              </w:rPr>
            </w:pPr>
          </w:p>
        </w:tc>
      </w:tr>
      <w:tr>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注册资金</w:t>
            </w:r>
          </w:p>
        </w:tc>
        <w:tc>
          <w:tcPr>
            <w:tcW w:w="2193" w:type="dxa"/>
            <w:gridSpan w:val="2"/>
            <w:vAlign w:val="center"/>
          </w:tcPr>
          <w:p>
            <w:pPr>
              <w:autoSpaceDE w:val="0"/>
              <w:autoSpaceDN w:val="0"/>
              <w:adjustRightInd w:val="0"/>
              <w:spacing w:line="400" w:lineRule="exact"/>
              <w:jc w:val="center"/>
              <w:rPr>
                <w:rFonts w:ascii="宋体" w:hAnsi="宋体"/>
                <w:kern w:val="0"/>
                <w:szCs w:val="21"/>
              </w:rPr>
            </w:pPr>
          </w:p>
        </w:tc>
        <w:tc>
          <w:tcPr>
            <w:tcW w:w="1248" w:type="dxa"/>
            <w:vMerge w:val="continue"/>
            <w:vAlign w:val="center"/>
          </w:tcPr>
          <w:p>
            <w:pPr>
              <w:autoSpaceDE w:val="0"/>
              <w:autoSpaceDN w:val="0"/>
              <w:adjustRightInd w:val="0"/>
              <w:spacing w:line="400" w:lineRule="exact"/>
              <w:jc w:val="center"/>
              <w:rPr>
                <w:rFonts w:ascii="宋体" w:hAnsi="宋体"/>
                <w:kern w:val="0"/>
                <w:szCs w:val="21"/>
              </w:rPr>
            </w:pPr>
          </w:p>
        </w:tc>
        <w:tc>
          <w:tcPr>
            <w:tcW w:w="1486" w:type="dxa"/>
            <w:gridSpan w:val="3"/>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中级职称人员</w:t>
            </w:r>
          </w:p>
        </w:tc>
        <w:tc>
          <w:tcPr>
            <w:tcW w:w="2079" w:type="dxa"/>
            <w:gridSpan w:val="2"/>
            <w:vAlign w:val="center"/>
          </w:tcPr>
          <w:p>
            <w:pPr>
              <w:autoSpaceDE w:val="0"/>
              <w:autoSpaceDN w:val="0"/>
              <w:adjustRightInd w:val="0"/>
              <w:spacing w:line="400" w:lineRule="exact"/>
              <w:jc w:val="center"/>
              <w:rPr>
                <w:rFonts w:ascii="宋体" w:hAnsi="宋体"/>
                <w:bCs/>
                <w:kern w:val="0"/>
                <w:szCs w:val="21"/>
              </w:rPr>
            </w:pPr>
          </w:p>
        </w:tc>
      </w:tr>
      <w:tr>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开户银行</w:t>
            </w:r>
          </w:p>
        </w:tc>
        <w:tc>
          <w:tcPr>
            <w:tcW w:w="2193" w:type="dxa"/>
            <w:gridSpan w:val="2"/>
            <w:vAlign w:val="center"/>
          </w:tcPr>
          <w:p>
            <w:pPr>
              <w:autoSpaceDE w:val="0"/>
              <w:autoSpaceDN w:val="0"/>
              <w:adjustRightInd w:val="0"/>
              <w:spacing w:line="400" w:lineRule="exact"/>
              <w:jc w:val="center"/>
              <w:rPr>
                <w:rFonts w:ascii="宋体" w:hAnsi="宋体"/>
                <w:kern w:val="0"/>
                <w:szCs w:val="21"/>
              </w:rPr>
            </w:pPr>
          </w:p>
        </w:tc>
        <w:tc>
          <w:tcPr>
            <w:tcW w:w="1248" w:type="dxa"/>
            <w:vMerge w:val="continue"/>
            <w:vAlign w:val="center"/>
          </w:tcPr>
          <w:p>
            <w:pPr>
              <w:autoSpaceDE w:val="0"/>
              <w:autoSpaceDN w:val="0"/>
              <w:adjustRightInd w:val="0"/>
              <w:spacing w:line="400" w:lineRule="exact"/>
              <w:jc w:val="center"/>
              <w:rPr>
                <w:rFonts w:ascii="宋体" w:hAnsi="宋体"/>
                <w:kern w:val="0"/>
                <w:szCs w:val="21"/>
              </w:rPr>
            </w:pPr>
          </w:p>
        </w:tc>
        <w:tc>
          <w:tcPr>
            <w:tcW w:w="1486" w:type="dxa"/>
            <w:gridSpan w:val="3"/>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初级职称人员</w:t>
            </w:r>
          </w:p>
        </w:tc>
        <w:tc>
          <w:tcPr>
            <w:tcW w:w="2079" w:type="dxa"/>
            <w:gridSpan w:val="2"/>
            <w:vAlign w:val="center"/>
          </w:tcPr>
          <w:p>
            <w:pPr>
              <w:autoSpaceDE w:val="0"/>
              <w:autoSpaceDN w:val="0"/>
              <w:adjustRightInd w:val="0"/>
              <w:spacing w:line="400" w:lineRule="exact"/>
              <w:jc w:val="center"/>
              <w:rPr>
                <w:rFonts w:ascii="宋体" w:hAnsi="宋体"/>
                <w:bCs/>
                <w:kern w:val="0"/>
                <w:szCs w:val="21"/>
              </w:rPr>
            </w:pPr>
          </w:p>
        </w:tc>
      </w:tr>
      <w:tr>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账号</w:t>
            </w:r>
          </w:p>
        </w:tc>
        <w:tc>
          <w:tcPr>
            <w:tcW w:w="2193" w:type="dxa"/>
            <w:gridSpan w:val="2"/>
            <w:vAlign w:val="center"/>
          </w:tcPr>
          <w:p>
            <w:pPr>
              <w:autoSpaceDE w:val="0"/>
              <w:autoSpaceDN w:val="0"/>
              <w:adjustRightInd w:val="0"/>
              <w:spacing w:line="400" w:lineRule="exact"/>
              <w:jc w:val="center"/>
              <w:rPr>
                <w:rFonts w:ascii="宋体" w:hAnsi="宋体"/>
                <w:kern w:val="0"/>
                <w:szCs w:val="21"/>
              </w:rPr>
            </w:pPr>
          </w:p>
        </w:tc>
        <w:tc>
          <w:tcPr>
            <w:tcW w:w="1248" w:type="dxa"/>
            <w:vMerge w:val="continue"/>
            <w:vAlign w:val="center"/>
          </w:tcPr>
          <w:p>
            <w:pPr>
              <w:autoSpaceDE w:val="0"/>
              <w:autoSpaceDN w:val="0"/>
              <w:adjustRightInd w:val="0"/>
              <w:spacing w:line="400" w:lineRule="exact"/>
              <w:jc w:val="center"/>
              <w:rPr>
                <w:rFonts w:ascii="宋体" w:hAnsi="宋体"/>
                <w:kern w:val="0"/>
                <w:szCs w:val="21"/>
              </w:rPr>
            </w:pPr>
          </w:p>
        </w:tc>
        <w:tc>
          <w:tcPr>
            <w:tcW w:w="1486" w:type="dxa"/>
            <w:gridSpan w:val="3"/>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技工</w:t>
            </w:r>
          </w:p>
        </w:tc>
        <w:tc>
          <w:tcPr>
            <w:tcW w:w="2079" w:type="dxa"/>
            <w:gridSpan w:val="2"/>
            <w:vAlign w:val="center"/>
          </w:tcPr>
          <w:p>
            <w:pPr>
              <w:autoSpaceDE w:val="0"/>
              <w:autoSpaceDN w:val="0"/>
              <w:adjustRightInd w:val="0"/>
              <w:spacing w:line="400" w:lineRule="exact"/>
              <w:jc w:val="center"/>
              <w:rPr>
                <w:rFonts w:ascii="宋体" w:hAnsi="宋体"/>
                <w:bCs/>
                <w:kern w:val="0"/>
                <w:szCs w:val="21"/>
              </w:rPr>
            </w:pPr>
          </w:p>
        </w:tc>
      </w:tr>
      <w:tr>
        <w:trPr>
          <w:cantSplit/>
          <w:trHeight w:val="1491" w:hRule="atLeast"/>
          <w:jc w:val="center"/>
        </w:trPr>
        <w:tc>
          <w:tcPr>
            <w:tcW w:w="1516" w:type="dxa"/>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经营范围</w:t>
            </w:r>
          </w:p>
        </w:tc>
        <w:tc>
          <w:tcPr>
            <w:tcW w:w="7006" w:type="dxa"/>
            <w:gridSpan w:val="8"/>
            <w:vAlign w:val="center"/>
          </w:tcPr>
          <w:p>
            <w:pPr>
              <w:autoSpaceDE w:val="0"/>
              <w:autoSpaceDN w:val="0"/>
              <w:adjustRightInd w:val="0"/>
              <w:spacing w:line="400" w:lineRule="exact"/>
              <w:rPr>
                <w:rFonts w:ascii="宋体" w:hAnsi="宋体"/>
                <w:bCs/>
                <w:kern w:val="0"/>
                <w:szCs w:val="21"/>
              </w:rPr>
            </w:pPr>
          </w:p>
        </w:tc>
      </w:tr>
      <w:tr>
        <w:trPr>
          <w:cantSplit/>
          <w:trHeight w:val="548" w:hRule="atLeast"/>
          <w:jc w:val="center"/>
        </w:trPr>
        <w:tc>
          <w:tcPr>
            <w:tcW w:w="1516" w:type="dxa"/>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备注</w:t>
            </w:r>
          </w:p>
        </w:tc>
        <w:tc>
          <w:tcPr>
            <w:tcW w:w="7006" w:type="dxa"/>
            <w:gridSpan w:val="8"/>
          </w:tcPr>
          <w:p>
            <w:pPr>
              <w:autoSpaceDE w:val="0"/>
              <w:autoSpaceDN w:val="0"/>
              <w:adjustRightInd w:val="0"/>
              <w:spacing w:line="400" w:lineRule="exact"/>
              <w:jc w:val="left"/>
              <w:rPr>
                <w:rFonts w:ascii="宋体" w:hAnsi="宋体"/>
                <w:kern w:val="0"/>
                <w:szCs w:val="21"/>
              </w:rPr>
            </w:pPr>
          </w:p>
        </w:tc>
      </w:tr>
    </w:tbl>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说明：</w:t>
      </w:r>
    </w:p>
    <w:p>
      <w:pPr>
        <w:spacing w:line="560" w:lineRule="exact"/>
        <w:ind w:firstLine="480" w:firstLineChars="200"/>
        <w:rPr>
          <w:rFonts w:ascii="宋体" w:hAnsi="宋体" w:cs="宋体"/>
          <w:sz w:val="24"/>
        </w:rPr>
      </w:pPr>
      <w:r>
        <w:rPr>
          <w:rFonts w:hint="eastAsia" w:ascii="宋体" w:hAnsi="宋体" w:cs="宋体"/>
          <w:sz w:val="24"/>
        </w:rPr>
        <w:t>1、“经营范围”填写经工商部门核准并在营业执照上登记的内容。</w:t>
      </w:r>
    </w:p>
    <w:p>
      <w:pPr>
        <w:spacing w:line="560" w:lineRule="exact"/>
        <w:ind w:firstLine="480" w:firstLineChars="200"/>
        <w:rPr>
          <w:rFonts w:ascii="宋体" w:hAnsi="宋体" w:cs="宋体"/>
          <w:sz w:val="24"/>
        </w:rPr>
      </w:pPr>
      <w:r>
        <w:rPr>
          <w:rFonts w:hint="eastAsia" w:ascii="宋体" w:hAnsi="宋体" w:cs="宋体"/>
          <w:sz w:val="24"/>
        </w:rPr>
        <w:t>2、表格不能满足使用时可自行增加。</w:t>
      </w: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r>
        <w:rPr>
          <w:rFonts w:hint="eastAsia" w:ascii="宋体" w:hAnsi="宋体" w:cs="宋体"/>
          <w:sz w:val="24"/>
        </w:rPr>
        <w:t>比选申请人名称：</w:t>
      </w:r>
      <w:r>
        <w:rPr>
          <w:rFonts w:hint="eastAsia" w:ascii="宋体" w:hAnsi="宋体" w:cs="宋体"/>
          <w:sz w:val="24"/>
          <w:u w:val="single"/>
        </w:rPr>
        <w:t xml:space="preserve">                         </w:t>
      </w:r>
      <w:r>
        <w:rPr>
          <w:rFonts w:hint="eastAsia" w:ascii="宋体" w:hAnsi="宋体" w:cs="宋体"/>
          <w:sz w:val="24"/>
        </w:rPr>
        <w:t>（加盖公章）</w:t>
      </w:r>
    </w:p>
    <w:p>
      <w:pPr>
        <w:spacing w:line="560" w:lineRule="exact"/>
        <w:ind w:firstLine="480" w:firstLineChars="200"/>
        <w:rPr>
          <w:rFonts w:ascii="宋体" w:hAnsi="宋体" w:cs="宋体"/>
          <w:sz w:val="24"/>
        </w:rPr>
      </w:pPr>
      <w:r>
        <w:rPr>
          <w:rFonts w:hint="eastAsia" w:ascii="宋体" w:hAnsi="宋体" w:cs="宋体"/>
          <w:sz w:val="24"/>
        </w:rPr>
        <w:t>法定代表人或代理人：</w:t>
      </w:r>
      <w:r>
        <w:rPr>
          <w:rFonts w:hint="eastAsia" w:ascii="宋体" w:hAnsi="宋体" w:cs="宋体"/>
          <w:sz w:val="24"/>
          <w:u w:val="single"/>
        </w:rPr>
        <w:t xml:space="preserve">             </w:t>
      </w:r>
      <w:r>
        <w:rPr>
          <w:rFonts w:hint="eastAsia" w:ascii="宋体" w:hAnsi="宋体" w:cs="宋体"/>
          <w:sz w:val="24"/>
        </w:rPr>
        <w:t>（签字）</w:t>
      </w:r>
    </w:p>
    <w:p>
      <w:pPr>
        <w:pStyle w:val="5"/>
        <w:tabs>
          <w:tab w:val="left" w:pos="567"/>
        </w:tabs>
        <w:spacing w:line="560" w:lineRule="exact"/>
        <w:rPr>
          <w:rFonts w:ascii="宋体" w:hAnsi="宋体" w:cs="宋体"/>
          <w:sz w:val="24"/>
          <w:szCs w:val="24"/>
        </w:rPr>
        <w:sectPr>
          <w:pgSz w:w="11906" w:h="16838"/>
          <w:pgMar w:top="907" w:right="1797" w:bottom="680" w:left="1797" w:header="851" w:footer="992" w:gutter="0"/>
          <w:cols w:space="720" w:num="1"/>
          <w:titlePg/>
          <w:docGrid w:type="lines" w:linePitch="312" w:charSpace="0"/>
        </w:sectPr>
      </w:pPr>
    </w:p>
    <w:p>
      <w:pPr>
        <w:pStyle w:val="4"/>
        <w:tabs>
          <w:tab w:val="left" w:pos="0"/>
          <w:tab w:val="left" w:pos="6521"/>
        </w:tabs>
        <w:spacing w:line="560" w:lineRule="exact"/>
        <w:rPr>
          <w:rFonts w:cs="宋体"/>
          <w:bCs/>
          <w:sz w:val="32"/>
          <w:szCs w:val="32"/>
        </w:rPr>
      </w:pPr>
      <w:r>
        <w:rPr>
          <w:rFonts w:hint="eastAsia" w:cs="宋体"/>
          <w:bCs/>
          <w:sz w:val="32"/>
          <w:szCs w:val="32"/>
        </w:rPr>
        <w:t>12.业绩一览表</w:t>
      </w:r>
    </w:p>
    <w:p>
      <w:pPr>
        <w:rPr>
          <w:rFonts w:ascii="宋体" w:hAnsi="宋体" w:cs="宋体"/>
          <w:sz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tcBorders>
              <w:top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年份</w:t>
            </w:r>
          </w:p>
        </w:tc>
        <w:tc>
          <w:tcPr>
            <w:tcW w:w="1440" w:type="dxa"/>
            <w:vAlign w:val="center"/>
          </w:tcPr>
          <w:p>
            <w:pPr>
              <w:spacing w:line="560" w:lineRule="exact"/>
              <w:jc w:val="center"/>
              <w:rPr>
                <w:rFonts w:ascii="宋体" w:hAnsi="宋体" w:cs="宋体"/>
                <w:sz w:val="24"/>
              </w:rPr>
            </w:pPr>
            <w:r>
              <w:rPr>
                <w:rFonts w:hint="eastAsia" w:ascii="宋体" w:hAnsi="宋体" w:cs="宋体"/>
                <w:sz w:val="24"/>
              </w:rPr>
              <w:t>用户名称</w:t>
            </w:r>
          </w:p>
        </w:tc>
        <w:tc>
          <w:tcPr>
            <w:tcW w:w="1320" w:type="dxa"/>
            <w:vAlign w:val="center"/>
          </w:tcPr>
          <w:p>
            <w:pPr>
              <w:spacing w:line="560" w:lineRule="exact"/>
              <w:jc w:val="center"/>
              <w:rPr>
                <w:rFonts w:ascii="宋体" w:hAnsi="宋体" w:cs="宋体"/>
                <w:sz w:val="24"/>
              </w:rPr>
            </w:pPr>
            <w:r>
              <w:rPr>
                <w:rFonts w:hint="eastAsia" w:ascii="宋体" w:hAnsi="宋体" w:cs="宋体"/>
                <w:sz w:val="24"/>
              </w:rPr>
              <w:t>项目名称</w:t>
            </w:r>
          </w:p>
        </w:tc>
        <w:tc>
          <w:tcPr>
            <w:tcW w:w="1161" w:type="dxa"/>
            <w:vAlign w:val="center"/>
          </w:tcPr>
          <w:p>
            <w:pPr>
              <w:spacing w:line="560" w:lineRule="exact"/>
              <w:jc w:val="center"/>
              <w:rPr>
                <w:rFonts w:ascii="宋体" w:hAnsi="宋体" w:cs="宋体"/>
                <w:sz w:val="24"/>
              </w:rPr>
            </w:pPr>
            <w:r>
              <w:rPr>
                <w:rFonts w:hint="eastAsia" w:ascii="宋体" w:hAnsi="宋体" w:cs="宋体"/>
                <w:sz w:val="24"/>
              </w:rPr>
              <w:t>完成时间</w:t>
            </w:r>
          </w:p>
        </w:tc>
        <w:tc>
          <w:tcPr>
            <w:tcW w:w="1260" w:type="dxa"/>
            <w:vAlign w:val="center"/>
          </w:tcPr>
          <w:p>
            <w:pPr>
              <w:spacing w:line="560" w:lineRule="exact"/>
              <w:jc w:val="center"/>
              <w:rPr>
                <w:rFonts w:ascii="宋体" w:hAnsi="宋体" w:cs="宋体"/>
                <w:sz w:val="24"/>
              </w:rPr>
            </w:pPr>
            <w:r>
              <w:rPr>
                <w:rFonts w:hint="eastAsia" w:ascii="宋体" w:hAnsi="宋体" w:cs="宋体"/>
                <w:sz w:val="24"/>
              </w:rPr>
              <w:t>合同金额</w:t>
            </w:r>
          </w:p>
        </w:tc>
        <w:tc>
          <w:tcPr>
            <w:tcW w:w="1374" w:type="dxa"/>
            <w:gridSpan w:val="3"/>
            <w:tcBorders>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是否通过</w:t>
            </w:r>
          </w:p>
          <w:p>
            <w:pPr>
              <w:spacing w:line="560" w:lineRule="exact"/>
              <w:jc w:val="center"/>
              <w:rPr>
                <w:rFonts w:ascii="宋体" w:hAnsi="宋体" w:cs="宋体"/>
                <w:sz w:val="24"/>
              </w:rPr>
            </w:pPr>
            <w:r>
              <w:rPr>
                <w:rFonts w:hint="eastAsia" w:ascii="宋体" w:hAnsi="宋体" w:cs="宋体"/>
                <w:sz w:val="24"/>
              </w:rPr>
              <w:t>验收</w:t>
            </w:r>
          </w:p>
        </w:tc>
        <w:tc>
          <w:tcPr>
            <w:tcW w:w="782" w:type="dxa"/>
            <w:tcBorders>
              <w:lef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vAlign w:val="center"/>
          </w:tcPr>
          <w:p>
            <w:pPr>
              <w:spacing w:line="560" w:lineRule="exact"/>
              <w:ind w:firstLine="480"/>
              <w:jc w:val="center"/>
              <w:rPr>
                <w:rFonts w:ascii="宋体" w:hAnsi="宋体" w:cs="宋体"/>
                <w:sz w:val="24"/>
              </w:rPr>
            </w:pPr>
          </w:p>
        </w:tc>
        <w:tc>
          <w:tcPr>
            <w:tcW w:w="1440" w:type="dxa"/>
            <w:vAlign w:val="center"/>
          </w:tcPr>
          <w:p>
            <w:pPr>
              <w:spacing w:line="560" w:lineRule="exact"/>
              <w:ind w:firstLine="480"/>
              <w:jc w:val="center"/>
              <w:rPr>
                <w:rFonts w:ascii="宋体" w:hAnsi="宋体" w:cs="宋体"/>
                <w:sz w:val="24"/>
              </w:rPr>
            </w:pPr>
          </w:p>
        </w:tc>
        <w:tc>
          <w:tcPr>
            <w:tcW w:w="1320" w:type="dxa"/>
            <w:vAlign w:val="center"/>
          </w:tcPr>
          <w:p>
            <w:pPr>
              <w:spacing w:line="560" w:lineRule="exact"/>
              <w:ind w:firstLine="480"/>
              <w:jc w:val="center"/>
              <w:rPr>
                <w:rFonts w:ascii="宋体" w:hAnsi="宋体" w:cs="宋体"/>
                <w:sz w:val="24"/>
              </w:rPr>
            </w:pPr>
          </w:p>
        </w:tc>
        <w:tc>
          <w:tcPr>
            <w:tcW w:w="1161" w:type="dxa"/>
            <w:vAlign w:val="center"/>
          </w:tcPr>
          <w:p>
            <w:pPr>
              <w:spacing w:line="560" w:lineRule="exact"/>
              <w:ind w:firstLine="480"/>
              <w:jc w:val="center"/>
              <w:rPr>
                <w:rFonts w:ascii="宋体" w:hAnsi="宋体" w:cs="宋体"/>
                <w:sz w:val="24"/>
              </w:rPr>
            </w:pPr>
          </w:p>
        </w:tc>
        <w:tc>
          <w:tcPr>
            <w:tcW w:w="1260" w:type="dxa"/>
            <w:vAlign w:val="center"/>
          </w:tcPr>
          <w:p>
            <w:pPr>
              <w:spacing w:line="560" w:lineRule="exact"/>
              <w:ind w:firstLine="480"/>
              <w:jc w:val="center"/>
              <w:rPr>
                <w:rFonts w:ascii="宋体" w:hAnsi="宋体" w:cs="宋体"/>
                <w:sz w:val="24"/>
              </w:rPr>
            </w:pPr>
          </w:p>
        </w:tc>
        <w:tc>
          <w:tcPr>
            <w:tcW w:w="1374" w:type="dxa"/>
            <w:gridSpan w:val="3"/>
            <w:tcBorders>
              <w:right w:val="single" w:color="auto" w:sz="4" w:space="0"/>
            </w:tcBorders>
            <w:vAlign w:val="center"/>
          </w:tcPr>
          <w:p>
            <w:pPr>
              <w:spacing w:line="560" w:lineRule="exact"/>
              <w:ind w:firstLine="480"/>
              <w:jc w:val="center"/>
              <w:rPr>
                <w:rFonts w:ascii="宋体" w:hAnsi="宋体" w:cs="宋体"/>
                <w:sz w:val="24"/>
              </w:rPr>
            </w:pPr>
          </w:p>
        </w:tc>
        <w:tc>
          <w:tcPr>
            <w:tcW w:w="782" w:type="dxa"/>
            <w:tcBorders>
              <w:left w:val="single" w:color="auto" w:sz="4" w:space="0"/>
            </w:tcBorders>
            <w:vAlign w:val="center"/>
          </w:tcPr>
          <w:p>
            <w:pPr>
              <w:spacing w:line="56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vAlign w:val="center"/>
          </w:tcPr>
          <w:p>
            <w:pPr>
              <w:spacing w:line="560" w:lineRule="exact"/>
              <w:ind w:firstLine="480"/>
              <w:jc w:val="center"/>
              <w:rPr>
                <w:rFonts w:ascii="宋体" w:hAnsi="宋体" w:cs="宋体"/>
                <w:sz w:val="24"/>
              </w:rPr>
            </w:pPr>
          </w:p>
        </w:tc>
        <w:tc>
          <w:tcPr>
            <w:tcW w:w="1440" w:type="dxa"/>
            <w:vAlign w:val="center"/>
          </w:tcPr>
          <w:p>
            <w:pPr>
              <w:spacing w:line="560" w:lineRule="exact"/>
              <w:ind w:firstLine="480"/>
              <w:jc w:val="center"/>
              <w:rPr>
                <w:rFonts w:ascii="宋体" w:hAnsi="宋体" w:cs="宋体"/>
                <w:sz w:val="24"/>
              </w:rPr>
            </w:pPr>
          </w:p>
        </w:tc>
        <w:tc>
          <w:tcPr>
            <w:tcW w:w="1320" w:type="dxa"/>
            <w:vAlign w:val="center"/>
          </w:tcPr>
          <w:p>
            <w:pPr>
              <w:spacing w:line="560" w:lineRule="exact"/>
              <w:ind w:firstLine="480"/>
              <w:jc w:val="center"/>
              <w:rPr>
                <w:rFonts w:ascii="宋体" w:hAnsi="宋体" w:cs="宋体"/>
                <w:sz w:val="24"/>
              </w:rPr>
            </w:pPr>
          </w:p>
        </w:tc>
        <w:tc>
          <w:tcPr>
            <w:tcW w:w="1161" w:type="dxa"/>
            <w:vAlign w:val="center"/>
          </w:tcPr>
          <w:p>
            <w:pPr>
              <w:spacing w:line="560" w:lineRule="exact"/>
              <w:ind w:firstLine="480"/>
              <w:jc w:val="center"/>
              <w:rPr>
                <w:rFonts w:ascii="宋体" w:hAnsi="宋体" w:cs="宋体"/>
                <w:sz w:val="24"/>
              </w:rPr>
            </w:pPr>
          </w:p>
        </w:tc>
        <w:tc>
          <w:tcPr>
            <w:tcW w:w="1260" w:type="dxa"/>
            <w:vAlign w:val="center"/>
          </w:tcPr>
          <w:p>
            <w:pPr>
              <w:spacing w:line="560" w:lineRule="exact"/>
              <w:ind w:firstLine="480"/>
              <w:jc w:val="center"/>
              <w:rPr>
                <w:rFonts w:ascii="宋体" w:hAnsi="宋体" w:cs="宋体"/>
                <w:sz w:val="24"/>
              </w:rPr>
            </w:pPr>
          </w:p>
        </w:tc>
        <w:tc>
          <w:tcPr>
            <w:tcW w:w="1374" w:type="dxa"/>
            <w:gridSpan w:val="3"/>
            <w:tcBorders>
              <w:right w:val="single" w:color="auto" w:sz="4" w:space="0"/>
            </w:tcBorders>
            <w:vAlign w:val="center"/>
          </w:tcPr>
          <w:p>
            <w:pPr>
              <w:spacing w:line="560" w:lineRule="exact"/>
              <w:ind w:firstLine="480"/>
              <w:jc w:val="center"/>
              <w:rPr>
                <w:rFonts w:ascii="宋体" w:hAnsi="宋体" w:cs="宋体"/>
                <w:sz w:val="24"/>
              </w:rPr>
            </w:pPr>
          </w:p>
        </w:tc>
        <w:tc>
          <w:tcPr>
            <w:tcW w:w="782" w:type="dxa"/>
            <w:tcBorders>
              <w:left w:val="single" w:color="auto" w:sz="4" w:space="0"/>
            </w:tcBorders>
            <w:vAlign w:val="center"/>
          </w:tcPr>
          <w:p>
            <w:pPr>
              <w:spacing w:line="56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vAlign w:val="center"/>
          </w:tcPr>
          <w:p>
            <w:pPr>
              <w:spacing w:line="560" w:lineRule="exact"/>
              <w:ind w:firstLine="480"/>
              <w:jc w:val="center"/>
              <w:rPr>
                <w:rFonts w:ascii="宋体" w:hAnsi="宋体" w:cs="宋体"/>
                <w:sz w:val="24"/>
              </w:rPr>
            </w:pPr>
          </w:p>
        </w:tc>
        <w:tc>
          <w:tcPr>
            <w:tcW w:w="1440" w:type="dxa"/>
            <w:vAlign w:val="center"/>
          </w:tcPr>
          <w:p>
            <w:pPr>
              <w:spacing w:line="560" w:lineRule="exact"/>
              <w:ind w:firstLine="480"/>
              <w:jc w:val="center"/>
              <w:rPr>
                <w:rFonts w:ascii="宋体" w:hAnsi="宋体" w:cs="宋体"/>
                <w:sz w:val="24"/>
              </w:rPr>
            </w:pPr>
          </w:p>
        </w:tc>
        <w:tc>
          <w:tcPr>
            <w:tcW w:w="1320" w:type="dxa"/>
            <w:vAlign w:val="center"/>
          </w:tcPr>
          <w:p>
            <w:pPr>
              <w:spacing w:line="560" w:lineRule="exact"/>
              <w:ind w:firstLine="480"/>
              <w:jc w:val="center"/>
              <w:rPr>
                <w:rFonts w:ascii="宋体" w:hAnsi="宋体" w:cs="宋体"/>
                <w:sz w:val="24"/>
              </w:rPr>
            </w:pPr>
          </w:p>
        </w:tc>
        <w:tc>
          <w:tcPr>
            <w:tcW w:w="1161" w:type="dxa"/>
            <w:vAlign w:val="center"/>
          </w:tcPr>
          <w:p>
            <w:pPr>
              <w:spacing w:line="560" w:lineRule="exact"/>
              <w:ind w:firstLine="480"/>
              <w:jc w:val="center"/>
              <w:rPr>
                <w:rFonts w:ascii="宋体" w:hAnsi="宋体" w:cs="宋体"/>
                <w:sz w:val="24"/>
              </w:rPr>
            </w:pPr>
          </w:p>
        </w:tc>
        <w:tc>
          <w:tcPr>
            <w:tcW w:w="1269" w:type="dxa"/>
            <w:gridSpan w:val="2"/>
            <w:tcBorders>
              <w:right w:val="single" w:color="auto" w:sz="4" w:space="0"/>
            </w:tcBorders>
            <w:vAlign w:val="center"/>
          </w:tcPr>
          <w:p>
            <w:pPr>
              <w:spacing w:line="560" w:lineRule="exact"/>
              <w:ind w:firstLine="480"/>
              <w:jc w:val="center"/>
              <w:rPr>
                <w:rFonts w:ascii="宋体" w:hAnsi="宋体" w:cs="宋体"/>
                <w:sz w:val="24"/>
              </w:rPr>
            </w:pPr>
          </w:p>
        </w:tc>
        <w:tc>
          <w:tcPr>
            <w:tcW w:w="1356" w:type="dxa"/>
            <w:tcBorders>
              <w:left w:val="single" w:color="auto" w:sz="4" w:space="0"/>
              <w:right w:val="single" w:color="auto" w:sz="4" w:space="0"/>
            </w:tcBorders>
            <w:vAlign w:val="center"/>
          </w:tcPr>
          <w:p>
            <w:pPr>
              <w:spacing w:line="560" w:lineRule="exact"/>
              <w:ind w:firstLine="480"/>
              <w:jc w:val="center"/>
              <w:rPr>
                <w:rFonts w:ascii="宋体" w:hAnsi="宋体" w:cs="宋体"/>
                <w:sz w:val="24"/>
              </w:rPr>
            </w:pPr>
          </w:p>
        </w:tc>
        <w:tc>
          <w:tcPr>
            <w:tcW w:w="791" w:type="dxa"/>
            <w:gridSpan w:val="2"/>
            <w:tcBorders>
              <w:left w:val="single" w:color="auto" w:sz="4" w:space="0"/>
            </w:tcBorders>
            <w:vAlign w:val="center"/>
          </w:tcPr>
          <w:p>
            <w:pPr>
              <w:spacing w:line="56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35" w:hRule="atLeast"/>
          <w:jc w:val="center"/>
        </w:trPr>
        <w:tc>
          <w:tcPr>
            <w:tcW w:w="720" w:type="dxa"/>
            <w:tcBorders>
              <w:top w:val="single" w:color="auto" w:sz="4" w:space="0"/>
            </w:tcBorders>
            <w:vAlign w:val="center"/>
          </w:tcPr>
          <w:p>
            <w:pPr>
              <w:spacing w:line="560" w:lineRule="exact"/>
              <w:ind w:firstLine="480"/>
              <w:jc w:val="center"/>
              <w:rPr>
                <w:rFonts w:ascii="宋体" w:hAnsi="宋体" w:cs="宋体"/>
                <w:sz w:val="24"/>
              </w:rPr>
            </w:pPr>
          </w:p>
        </w:tc>
        <w:tc>
          <w:tcPr>
            <w:tcW w:w="1440" w:type="dxa"/>
            <w:tcBorders>
              <w:top w:val="single" w:color="auto" w:sz="4" w:space="0"/>
            </w:tcBorders>
            <w:vAlign w:val="center"/>
          </w:tcPr>
          <w:p>
            <w:pPr>
              <w:spacing w:line="560" w:lineRule="exact"/>
              <w:ind w:firstLine="480"/>
              <w:jc w:val="center"/>
              <w:rPr>
                <w:rFonts w:ascii="宋体" w:hAnsi="宋体" w:cs="宋体"/>
                <w:sz w:val="24"/>
              </w:rPr>
            </w:pPr>
          </w:p>
        </w:tc>
        <w:tc>
          <w:tcPr>
            <w:tcW w:w="1320" w:type="dxa"/>
            <w:tcBorders>
              <w:top w:val="single" w:color="auto" w:sz="4" w:space="0"/>
            </w:tcBorders>
            <w:vAlign w:val="center"/>
          </w:tcPr>
          <w:p>
            <w:pPr>
              <w:spacing w:line="560" w:lineRule="exact"/>
              <w:ind w:firstLine="480"/>
              <w:jc w:val="center"/>
              <w:rPr>
                <w:rFonts w:ascii="宋体" w:hAnsi="宋体" w:cs="宋体"/>
                <w:sz w:val="24"/>
              </w:rPr>
            </w:pPr>
          </w:p>
        </w:tc>
        <w:tc>
          <w:tcPr>
            <w:tcW w:w="1161" w:type="dxa"/>
            <w:tcBorders>
              <w:top w:val="single" w:color="auto" w:sz="4" w:space="0"/>
            </w:tcBorders>
            <w:vAlign w:val="center"/>
          </w:tcPr>
          <w:p>
            <w:pPr>
              <w:spacing w:line="560" w:lineRule="exact"/>
              <w:ind w:firstLine="480"/>
              <w:jc w:val="center"/>
              <w:rPr>
                <w:rFonts w:ascii="宋体" w:hAnsi="宋体" w:cs="宋体"/>
                <w:sz w:val="24"/>
              </w:rPr>
            </w:pPr>
          </w:p>
        </w:tc>
        <w:tc>
          <w:tcPr>
            <w:tcW w:w="1269" w:type="dxa"/>
            <w:gridSpan w:val="2"/>
            <w:tcBorders>
              <w:top w:val="single" w:color="auto" w:sz="4" w:space="0"/>
              <w:right w:val="single" w:color="auto" w:sz="4" w:space="0"/>
            </w:tcBorders>
            <w:vAlign w:val="center"/>
          </w:tcPr>
          <w:p>
            <w:pPr>
              <w:spacing w:line="560" w:lineRule="exact"/>
              <w:ind w:firstLine="480"/>
              <w:jc w:val="center"/>
              <w:rPr>
                <w:rFonts w:ascii="宋体" w:hAnsi="宋体" w:cs="宋体"/>
                <w:sz w:val="24"/>
              </w:rPr>
            </w:pPr>
          </w:p>
        </w:tc>
        <w:tc>
          <w:tcPr>
            <w:tcW w:w="1356" w:type="dxa"/>
            <w:tcBorders>
              <w:top w:val="single" w:color="auto" w:sz="4" w:space="0"/>
              <w:left w:val="single" w:color="auto" w:sz="4" w:space="0"/>
              <w:right w:val="single" w:color="auto" w:sz="4" w:space="0"/>
            </w:tcBorders>
            <w:vAlign w:val="center"/>
          </w:tcPr>
          <w:p>
            <w:pPr>
              <w:spacing w:line="560" w:lineRule="exact"/>
              <w:ind w:firstLine="480"/>
              <w:jc w:val="center"/>
              <w:rPr>
                <w:rFonts w:ascii="宋体" w:hAnsi="宋体" w:cs="宋体"/>
                <w:sz w:val="24"/>
              </w:rPr>
            </w:pPr>
          </w:p>
        </w:tc>
        <w:tc>
          <w:tcPr>
            <w:tcW w:w="791" w:type="dxa"/>
            <w:gridSpan w:val="2"/>
            <w:tcBorders>
              <w:top w:val="single" w:color="auto" w:sz="4" w:space="0"/>
              <w:left w:val="single" w:color="auto" w:sz="4" w:space="0"/>
            </w:tcBorders>
            <w:vAlign w:val="center"/>
          </w:tcPr>
          <w:p>
            <w:pPr>
              <w:spacing w:line="560" w:lineRule="exact"/>
              <w:ind w:firstLine="480"/>
              <w:jc w:val="center"/>
              <w:rPr>
                <w:rFonts w:ascii="宋体" w:hAnsi="宋体" w:cs="宋体"/>
                <w:sz w:val="24"/>
              </w:rPr>
            </w:pPr>
          </w:p>
        </w:tc>
      </w:tr>
    </w:tbl>
    <w:p>
      <w:pPr>
        <w:spacing w:line="560" w:lineRule="exact"/>
        <w:ind w:right="-141" w:rightChars="-67"/>
        <w:rPr>
          <w:rFonts w:ascii="宋体" w:hAnsi="宋体" w:cs="宋体"/>
          <w:sz w:val="24"/>
        </w:rPr>
      </w:pPr>
      <w:r>
        <w:rPr>
          <w:rFonts w:hint="eastAsia" w:ascii="宋体" w:hAnsi="宋体" w:cs="宋体"/>
          <w:sz w:val="24"/>
        </w:rPr>
        <w:t>注：</w:t>
      </w:r>
    </w:p>
    <w:p>
      <w:pPr>
        <w:spacing w:line="560" w:lineRule="exact"/>
        <w:ind w:firstLine="480"/>
        <w:rPr>
          <w:rFonts w:ascii="宋体" w:hAnsi="宋体" w:cs="宋体"/>
          <w:bCs/>
          <w:sz w:val="24"/>
        </w:rPr>
      </w:pPr>
      <w:r>
        <w:rPr>
          <w:rFonts w:hint="eastAsia" w:ascii="宋体" w:hAnsi="宋体" w:cs="宋体"/>
          <w:bCs/>
          <w:sz w:val="24"/>
        </w:rPr>
        <w:t>1.</w:t>
      </w:r>
      <w:r>
        <w:rPr>
          <w:rFonts w:hint="eastAsia" w:ascii="宋体" w:hAnsi="宋体" w:cs="宋体"/>
          <w:sz w:val="24"/>
        </w:rPr>
        <w:t>以上表格格式行可增减。</w:t>
      </w:r>
    </w:p>
    <w:p>
      <w:pPr>
        <w:spacing w:line="560" w:lineRule="exact"/>
        <w:ind w:firstLine="480" w:firstLineChars="200"/>
        <w:rPr>
          <w:rFonts w:ascii="宋体" w:hAnsi="宋体" w:cs="宋体"/>
          <w:sz w:val="24"/>
        </w:rPr>
      </w:pPr>
      <w:r>
        <w:rPr>
          <w:rFonts w:hint="eastAsia" w:ascii="宋体" w:hAnsi="宋体" w:cs="宋体"/>
          <w:sz w:val="24"/>
        </w:rPr>
        <w:t>2.业绩证明材料要求投标人提供近3年来直录播系统建设集成的类似案例。</w:t>
      </w:r>
    </w:p>
    <w:p>
      <w:pPr>
        <w:spacing w:line="560" w:lineRule="exact"/>
        <w:ind w:left="360"/>
        <w:jc w:val="center"/>
        <w:rPr>
          <w:rFonts w:ascii="宋体" w:hAnsi="宋体" w:cs="宋体"/>
          <w:sz w:val="24"/>
        </w:rPr>
      </w:pPr>
    </w:p>
    <w:p>
      <w:pPr>
        <w:pStyle w:val="4"/>
        <w:rPr>
          <w:rFonts w:cs="宋体"/>
        </w:rPr>
      </w:pPr>
    </w:p>
    <w:p>
      <w:pPr>
        <w:spacing w:line="560" w:lineRule="exact"/>
        <w:ind w:firstLine="480"/>
        <w:rPr>
          <w:rFonts w:ascii="宋体" w:hAnsi="宋体" w:cs="宋体"/>
          <w:sz w:val="24"/>
        </w:rPr>
      </w:pPr>
      <w:r>
        <w:rPr>
          <w:rFonts w:hint="eastAsia" w:ascii="宋体" w:hAnsi="宋体" w:cs="宋体"/>
          <w:sz w:val="24"/>
        </w:rPr>
        <w:t>比选申请人名称（公章）：</w:t>
      </w:r>
    </w:p>
    <w:p>
      <w:pPr>
        <w:spacing w:line="560" w:lineRule="exact"/>
        <w:ind w:firstLine="480"/>
        <w:rPr>
          <w:rFonts w:ascii="宋体" w:hAnsi="宋体" w:cs="宋体"/>
          <w:sz w:val="24"/>
        </w:rPr>
      </w:pPr>
      <w:r>
        <w:rPr>
          <w:rFonts w:hint="eastAsia" w:ascii="宋体" w:hAnsi="宋体" w:cs="宋体"/>
          <w:sz w:val="24"/>
        </w:rPr>
        <w:t>法定代表人或授权代表（签字）：</w:t>
      </w:r>
    </w:p>
    <w:p>
      <w:pPr>
        <w:spacing w:line="560" w:lineRule="exact"/>
        <w:ind w:firstLine="480"/>
        <w:rPr>
          <w:rFonts w:ascii="宋体" w:hAnsi="宋体" w:cs="宋体"/>
          <w:sz w:val="24"/>
        </w:rPr>
      </w:pPr>
      <w:r>
        <w:rPr>
          <w:rFonts w:hint="eastAsia" w:ascii="宋体" w:hAnsi="宋体" w:cs="宋体"/>
          <w:sz w:val="24"/>
        </w:rPr>
        <w:t>日  期：</w:t>
      </w:r>
      <w:bookmarkEnd w:id="125"/>
      <w:bookmarkEnd w:id="126"/>
      <w:bookmarkEnd w:id="127"/>
      <w:bookmarkEnd w:id="128"/>
      <w:bookmarkEnd w:id="129"/>
      <w:bookmarkEnd w:id="130"/>
      <w:bookmarkEnd w:id="131"/>
      <w:bookmarkEnd w:id="132"/>
      <w:bookmarkEnd w:id="133"/>
      <w:bookmarkEnd w:id="134"/>
    </w:p>
    <w:p>
      <w:pPr>
        <w:pStyle w:val="16"/>
        <w:rPr>
          <w:rFonts w:ascii="宋体" w:hAnsi="宋体" w:cs="宋体"/>
          <w:sz w:val="24"/>
        </w:rPr>
        <w:sectPr>
          <w:pgSz w:w="11906" w:h="16838"/>
          <w:pgMar w:top="907" w:right="1797" w:bottom="680" w:left="1797" w:header="851" w:footer="992" w:gutter="0"/>
          <w:cols w:space="720" w:num="1"/>
          <w:titlePg/>
          <w:docGrid w:type="lines" w:linePitch="312" w:charSpace="0"/>
        </w:sectPr>
      </w:pPr>
    </w:p>
    <w:p>
      <w:pPr>
        <w:spacing w:line="360" w:lineRule="auto"/>
        <w:ind w:firstLine="615" w:firstLineChars="192"/>
        <w:jc w:val="center"/>
        <w:outlineLvl w:val="0"/>
        <w:rPr>
          <w:rStyle w:val="32"/>
          <w:rFonts w:ascii="宋体" w:hAnsi="宋体" w:cs="宋体"/>
          <w:b w:val="0"/>
          <w:bCs w:val="0"/>
          <w:sz w:val="32"/>
          <w:szCs w:val="32"/>
        </w:rPr>
      </w:pPr>
      <w:bookmarkStart w:id="160" w:name="_Toc26628"/>
      <w:bookmarkStart w:id="161" w:name="_Toc11197_WPSOffice_Level1"/>
      <w:r>
        <w:rPr>
          <w:rFonts w:hint="eastAsia" w:ascii="宋体" w:hAnsi="宋体" w:cs="宋体"/>
          <w:b/>
          <w:sz w:val="32"/>
          <w:szCs w:val="32"/>
        </w:rPr>
        <w:t>第六部分 合同主要条款</w:t>
      </w:r>
      <w:bookmarkEnd w:id="160"/>
      <w:bookmarkEnd w:id="161"/>
    </w:p>
    <w:p>
      <w:pPr>
        <w:jc w:val="center"/>
        <w:outlineLvl w:val="0"/>
        <w:rPr>
          <w:rFonts w:ascii="宋体" w:hAnsi="宋体" w:cs="宋体"/>
          <w:b/>
          <w:bCs/>
          <w:kern w:val="0"/>
          <w:sz w:val="24"/>
        </w:rPr>
      </w:pPr>
      <w:r>
        <w:rPr>
          <w:rFonts w:hint="eastAsia" w:ascii="宋体" w:hAnsi="宋体" w:cs="宋体"/>
          <w:b/>
          <w:sz w:val="30"/>
          <w:szCs w:val="32"/>
        </w:rPr>
        <w:t xml:space="preserve"> </w:t>
      </w:r>
      <w:r>
        <w:rPr>
          <w:rFonts w:hint="eastAsia" w:ascii="宋体" w:hAnsi="宋体" w:cs="宋体"/>
        </w:rPr>
        <w:t xml:space="preserve">  </w:t>
      </w:r>
      <w:bookmarkStart w:id="162" w:name="_Toc11137_WPSOffice_Level1"/>
      <w:bookmarkStart w:id="163" w:name="_Toc26488"/>
      <w:bookmarkStart w:id="164" w:name="_Toc21681_WPSOffice_Level1"/>
      <w:bookmarkStart w:id="165" w:name="_Toc17599_WPSOffice_Level1"/>
      <w:bookmarkStart w:id="166" w:name="_Toc16530_WPSOffice_Level1"/>
      <w:bookmarkStart w:id="167" w:name="_Toc13823_WPSOffice_Level1"/>
      <w:bookmarkStart w:id="168" w:name="_Toc28821_WPSOffice_Level1"/>
      <w:r>
        <w:rPr>
          <w:rFonts w:hint="eastAsia" w:ascii="宋体" w:hAnsi="宋体" w:cs="宋体"/>
          <w:b/>
          <w:bCs/>
          <w:kern w:val="0"/>
          <w:sz w:val="24"/>
        </w:rPr>
        <w:t>(仅供参考，以实际签订合同为准。)</w:t>
      </w:r>
      <w:bookmarkEnd w:id="162"/>
      <w:bookmarkEnd w:id="163"/>
      <w:bookmarkEnd w:id="164"/>
      <w:bookmarkEnd w:id="165"/>
      <w:bookmarkEnd w:id="166"/>
      <w:bookmarkEnd w:id="167"/>
      <w:bookmarkEnd w:id="168"/>
    </w:p>
    <w:p>
      <w:pPr>
        <w:spacing w:line="560" w:lineRule="exact"/>
        <w:ind w:firstLine="480" w:firstLineChars="200"/>
        <w:rPr>
          <w:rFonts w:ascii="宋体" w:hAnsi="宋体" w:cs="宋体"/>
          <w:sz w:val="24"/>
        </w:rPr>
      </w:pPr>
      <w:r>
        <w:rPr>
          <w:rFonts w:hint="eastAsia" w:ascii="宋体" w:hAnsi="宋体" w:cs="宋体"/>
          <w:sz w:val="24"/>
        </w:rPr>
        <w:t>合同编号：XXXX。</w:t>
      </w:r>
    </w:p>
    <w:p>
      <w:pPr>
        <w:spacing w:line="560" w:lineRule="exact"/>
        <w:ind w:firstLine="480" w:firstLineChars="200"/>
        <w:rPr>
          <w:rFonts w:ascii="宋体" w:hAnsi="宋体" w:cs="宋体"/>
          <w:sz w:val="24"/>
        </w:rPr>
      </w:pPr>
      <w:r>
        <w:rPr>
          <w:rFonts w:hint="eastAsia" w:ascii="宋体" w:hAnsi="宋体" w:cs="宋体"/>
          <w:sz w:val="24"/>
        </w:rPr>
        <w:t>签订地点：XXXX。</w:t>
      </w:r>
    </w:p>
    <w:p>
      <w:pPr>
        <w:spacing w:line="560" w:lineRule="exact"/>
        <w:ind w:firstLine="480" w:firstLineChars="200"/>
        <w:rPr>
          <w:rFonts w:ascii="宋体" w:hAnsi="宋体" w:cs="宋体"/>
          <w:sz w:val="24"/>
        </w:rPr>
      </w:pPr>
      <w:r>
        <w:rPr>
          <w:rFonts w:hint="eastAsia" w:ascii="宋体" w:hAnsi="宋体" w:cs="宋体"/>
          <w:sz w:val="24"/>
        </w:rPr>
        <w:t>签订时间：XXXX年XX月XX日。</w:t>
      </w:r>
    </w:p>
    <w:p>
      <w:pPr>
        <w:spacing w:line="560" w:lineRule="exact"/>
        <w:ind w:firstLine="480" w:firstLineChars="200"/>
        <w:rPr>
          <w:rFonts w:ascii="宋体" w:hAnsi="宋体" w:cs="宋体"/>
          <w:sz w:val="24"/>
        </w:rPr>
      </w:pPr>
      <w:r>
        <w:rPr>
          <w:rFonts w:hint="eastAsia" w:ascii="宋体" w:hAnsi="宋体" w:cs="宋体"/>
          <w:sz w:val="24"/>
        </w:rPr>
        <w:t>比选人（甲方）：</w:t>
      </w:r>
      <w:r>
        <w:rPr>
          <w:rFonts w:hint="eastAsia" w:ascii="宋体" w:hAnsi="宋体" w:cs="宋体"/>
          <w:sz w:val="24"/>
          <w:u w:val="single"/>
        </w:rPr>
        <w:t xml:space="preserve">                              </w:t>
      </w:r>
    </w:p>
    <w:p>
      <w:pPr>
        <w:spacing w:line="560" w:lineRule="exact"/>
        <w:ind w:firstLine="480" w:firstLineChars="200"/>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p>
    <w:p>
      <w:pPr>
        <w:spacing w:line="560" w:lineRule="exact"/>
        <w:ind w:firstLine="480" w:firstLineChars="200"/>
        <w:rPr>
          <w:rFonts w:ascii="宋体" w:hAnsi="宋体" w:cs="宋体"/>
          <w:sz w:val="24"/>
        </w:rPr>
      </w:pPr>
      <w:r>
        <w:rPr>
          <w:rFonts w:hint="eastAsia" w:ascii="宋体" w:hAnsi="宋体" w:cs="宋体"/>
          <w:sz w:val="24"/>
        </w:rPr>
        <w:t>参照《中华人民共和国合同法》、《中华人民共和国政府采购法》、《中华人民共和国政府采购法》及其他有关法律、行政法规，遵循平等、自愿、公平和诚实信用的原则，双方就</w:t>
      </w:r>
      <w:r>
        <w:rPr>
          <w:rFonts w:hint="eastAsia" w:ascii="宋体" w:hAnsi="宋体" w:cs="宋体"/>
          <w:sz w:val="24"/>
          <w:u w:val="single"/>
        </w:rPr>
        <w:t xml:space="preserve">       </w:t>
      </w:r>
      <w:r>
        <w:rPr>
          <w:rFonts w:hint="eastAsia" w:ascii="宋体" w:hAnsi="宋体" w:cs="宋体"/>
          <w:sz w:val="24"/>
        </w:rPr>
        <w:t>项目服务事项协商一致，同意按下述条款和条件签署本合同及附件。</w:t>
      </w:r>
    </w:p>
    <w:p>
      <w:pPr>
        <w:spacing w:line="560" w:lineRule="exact"/>
        <w:ind w:firstLine="480" w:firstLineChars="200"/>
        <w:rPr>
          <w:rFonts w:ascii="宋体" w:hAnsi="宋体" w:cs="宋体"/>
          <w:sz w:val="24"/>
        </w:rPr>
      </w:pPr>
      <w:r>
        <w:rPr>
          <w:rFonts w:hint="eastAsia" w:ascii="宋体" w:hAnsi="宋体" w:cs="宋体"/>
          <w:sz w:val="24"/>
        </w:rPr>
        <w:t>第一条  合同标的   乙方根据甲方需求提供下列货物：</w:t>
      </w:r>
    </w:p>
    <w:p>
      <w:pPr>
        <w:spacing w:line="560" w:lineRule="exact"/>
        <w:ind w:firstLine="480" w:firstLineChars="200"/>
        <w:rPr>
          <w:rFonts w:ascii="宋体" w:hAnsi="宋体" w:cs="宋体"/>
          <w:sz w:val="24"/>
        </w:rPr>
      </w:pPr>
      <w:r>
        <w:rPr>
          <w:rFonts w:hint="eastAsia" w:ascii="宋体" w:hAnsi="宋体" w:cs="宋体"/>
          <w:sz w:val="24"/>
        </w:rPr>
        <w:t>货物名称、规格及数量详见“供货一览表”。</w:t>
      </w:r>
    </w:p>
    <w:p>
      <w:pPr>
        <w:spacing w:line="560" w:lineRule="exact"/>
        <w:ind w:firstLine="480" w:firstLineChars="200"/>
        <w:rPr>
          <w:rFonts w:ascii="宋体" w:hAnsi="宋体" w:cs="宋体"/>
          <w:sz w:val="24"/>
        </w:rPr>
      </w:pPr>
      <w:r>
        <w:rPr>
          <w:rFonts w:hint="eastAsia" w:ascii="宋体" w:hAnsi="宋体" w:cs="宋体"/>
          <w:sz w:val="24"/>
        </w:rPr>
        <w:t>第二条  合同总价款</w:t>
      </w:r>
      <w:r>
        <w:rPr>
          <w:rFonts w:hint="eastAsia" w:ascii="宋体" w:hAnsi="宋体" w:cs="宋体"/>
          <w:sz w:val="24"/>
          <w:u w:val="single"/>
        </w:rPr>
        <w:t xml:space="preserve">    </w:t>
      </w:r>
      <w:r>
        <w:rPr>
          <w:rFonts w:hint="eastAsia" w:ascii="宋体" w:hAnsi="宋体" w:cs="宋体"/>
          <w:sz w:val="24"/>
        </w:rPr>
        <w:t xml:space="preserve">本合同项下合同总价款为 </w:t>
      </w:r>
      <w:r>
        <w:rPr>
          <w:rFonts w:hint="eastAsia" w:ascii="宋体" w:hAnsi="宋体" w:cs="宋体"/>
          <w:sz w:val="24"/>
          <w:u w:val="single"/>
        </w:rPr>
        <w:t xml:space="preserve">                </w:t>
      </w:r>
      <w:r>
        <w:rPr>
          <w:rFonts w:hint="eastAsia" w:ascii="宋体" w:hAnsi="宋体" w:cs="宋体"/>
          <w:sz w:val="24"/>
        </w:rPr>
        <w:t xml:space="preserve"> （大写）人民币。分项价格明细</w:t>
      </w:r>
      <w:r>
        <w:rPr>
          <w:rFonts w:hint="eastAsia" w:ascii="宋体" w:hAnsi="宋体" w:cs="宋体"/>
          <w:sz w:val="24"/>
          <w:u w:val="single"/>
        </w:rPr>
        <w:t xml:space="preserve">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本合同总价款是包括所有设备的供货、运输、保险、卸货、安装到位、调试、验收、培训、保修、管理费、服务/售后服务、利润、税金等所有费用，比选申请人的报价是所有货物在使用现场安装调试完毕经验收合格后交货的固定不变价格。</w:t>
      </w:r>
    </w:p>
    <w:p>
      <w:pPr>
        <w:spacing w:line="560" w:lineRule="exact"/>
        <w:ind w:firstLine="480" w:firstLineChars="200"/>
        <w:rPr>
          <w:rFonts w:ascii="宋体" w:hAnsi="宋体" w:cs="宋体"/>
          <w:sz w:val="24"/>
        </w:rPr>
      </w:pPr>
      <w:r>
        <w:rPr>
          <w:rFonts w:hint="eastAsia" w:ascii="宋体" w:hAnsi="宋体" w:cs="宋体"/>
          <w:sz w:val="24"/>
        </w:rPr>
        <w:t>第三条  组成本合同的有关文件   本次采购活动方式相适应的文件及有关附件是本合同不可分割的组成部分，与本合同具有同等法律效力，这些文件包括但不限于：</w:t>
      </w:r>
    </w:p>
    <w:p>
      <w:pPr>
        <w:spacing w:line="560" w:lineRule="exact"/>
        <w:ind w:firstLine="480" w:firstLineChars="200"/>
        <w:outlineLvl w:val="0"/>
        <w:rPr>
          <w:rFonts w:ascii="宋体" w:hAnsi="宋体" w:cs="宋体"/>
          <w:sz w:val="24"/>
        </w:rPr>
      </w:pPr>
      <w:bookmarkStart w:id="169" w:name="_Toc25938_WPSOffice_Level1"/>
      <w:bookmarkStart w:id="170" w:name="_Toc6_WPSOffice_Level1"/>
      <w:bookmarkStart w:id="171" w:name="_Toc16635_WPSOffice_Level1"/>
      <w:bookmarkStart w:id="172" w:name="_Toc15787_WPSOffice_Level1"/>
      <w:bookmarkStart w:id="173" w:name="_Toc8585"/>
      <w:r>
        <w:rPr>
          <w:rFonts w:hint="eastAsia" w:ascii="宋体" w:hAnsi="宋体" w:cs="宋体"/>
          <w:sz w:val="24"/>
        </w:rPr>
        <w:t>（1）乙方提供的比选申请书；</w:t>
      </w:r>
    </w:p>
    <w:p>
      <w:pPr>
        <w:spacing w:line="560" w:lineRule="exact"/>
        <w:ind w:firstLine="480" w:firstLineChars="200"/>
        <w:outlineLvl w:val="0"/>
        <w:rPr>
          <w:rFonts w:ascii="宋体" w:hAnsi="宋体" w:cs="宋体"/>
          <w:sz w:val="24"/>
        </w:rPr>
      </w:pPr>
      <w:r>
        <w:rPr>
          <w:rFonts w:hint="eastAsia" w:ascii="宋体" w:hAnsi="宋体" w:cs="宋体"/>
          <w:sz w:val="24"/>
        </w:rPr>
        <w:t>（2）货物清单；</w:t>
      </w:r>
      <w:bookmarkEnd w:id="169"/>
      <w:bookmarkEnd w:id="170"/>
      <w:bookmarkEnd w:id="171"/>
      <w:bookmarkEnd w:id="172"/>
      <w:bookmarkEnd w:id="173"/>
    </w:p>
    <w:p>
      <w:pPr>
        <w:spacing w:line="560" w:lineRule="exact"/>
        <w:ind w:firstLine="480" w:firstLineChars="200"/>
        <w:outlineLvl w:val="0"/>
        <w:rPr>
          <w:rFonts w:ascii="宋体" w:hAnsi="宋体" w:cs="宋体"/>
          <w:sz w:val="24"/>
        </w:rPr>
      </w:pPr>
      <w:bookmarkStart w:id="174" w:name="_Toc28588_WPSOffice_Level1"/>
      <w:bookmarkStart w:id="175" w:name="_Toc1565_WPSOffice_Level1"/>
      <w:bookmarkStart w:id="176" w:name="_Toc6147_WPSOffice_Level1"/>
      <w:bookmarkStart w:id="177" w:name="_Toc26280"/>
      <w:bookmarkStart w:id="178" w:name="_Toc1738_WPSOffice_Level1"/>
      <w:r>
        <w:rPr>
          <w:rFonts w:hint="eastAsia" w:ascii="宋体" w:hAnsi="宋体" w:cs="宋体"/>
          <w:sz w:val="24"/>
        </w:rPr>
        <w:t>（3）投标货物技术规格偏离表；</w:t>
      </w:r>
      <w:bookmarkEnd w:id="174"/>
      <w:bookmarkEnd w:id="175"/>
      <w:bookmarkEnd w:id="176"/>
      <w:bookmarkEnd w:id="177"/>
      <w:bookmarkEnd w:id="178"/>
    </w:p>
    <w:p>
      <w:pPr>
        <w:spacing w:line="560" w:lineRule="exact"/>
        <w:ind w:firstLine="480" w:firstLineChars="200"/>
        <w:outlineLvl w:val="0"/>
        <w:rPr>
          <w:rFonts w:ascii="宋体" w:hAnsi="宋体" w:cs="宋体"/>
          <w:sz w:val="24"/>
        </w:rPr>
      </w:pPr>
      <w:bookmarkStart w:id="179" w:name="_Toc14171_WPSOffice_Level1"/>
      <w:bookmarkStart w:id="180" w:name="_Toc10015_WPSOffice_Level1"/>
      <w:bookmarkStart w:id="181" w:name="_Toc6345"/>
      <w:bookmarkStart w:id="182" w:name="_Toc11522_WPSOffice_Level1"/>
      <w:bookmarkStart w:id="183" w:name="_Toc31562_WPSOffice_Level1"/>
      <w:r>
        <w:rPr>
          <w:rFonts w:hint="eastAsia" w:ascii="宋体" w:hAnsi="宋体" w:cs="宋体"/>
          <w:sz w:val="24"/>
        </w:rPr>
        <w:t>（4）售后服务承诺、产品质保期承诺及实施方案；</w:t>
      </w:r>
      <w:bookmarkEnd w:id="179"/>
      <w:bookmarkEnd w:id="180"/>
      <w:bookmarkEnd w:id="181"/>
      <w:bookmarkEnd w:id="182"/>
      <w:bookmarkEnd w:id="183"/>
    </w:p>
    <w:p>
      <w:pPr>
        <w:spacing w:line="560" w:lineRule="exact"/>
        <w:ind w:firstLine="480" w:firstLineChars="200"/>
        <w:outlineLvl w:val="0"/>
        <w:rPr>
          <w:rFonts w:ascii="宋体" w:hAnsi="宋体" w:cs="宋体"/>
          <w:sz w:val="24"/>
        </w:rPr>
      </w:pPr>
      <w:bookmarkStart w:id="184" w:name="_Toc28596_WPSOffice_Level1"/>
      <w:bookmarkStart w:id="185" w:name="_Toc18350_WPSOffice_Level1"/>
      <w:bookmarkStart w:id="186" w:name="_Toc8054_WPSOffice_Level1"/>
      <w:bookmarkStart w:id="187" w:name="_Toc3577_WPSOffice_Level1"/>
      <w:bookmarkStart w:id="188" w:name="_Toc10782"/>
      <w:r>
        <w:rPr>
          <w:rFonts w:hint="eastAsia" w:ascii="宋体" w:hAnsi="宋体" w:cs="宋体"/>
          <w:sz w:val="24"/>
        </w:rPr>
        <w:t>（5）中标（成交）通知书；</w:t>
      </w:r>
      <w:bookmarkEnd w:id="184"/>
      <w:bookmarkEnd w:id="185"/>
      <w:bookmarkEnd w:id="186"/>
      <w:bookmarkEnd w:id="187"/>
      <w:bookmarkEnd w:id="188"/>
    </w:p>
    <w:p>
      <w:pPr>
        <w:spacing w:line="560" w:lineRule="exact"/>
        <w:ind w:firstLine="480" w:firstLineChars="200"/>
        <w:outlineLvl w:val="0"/>
        <w:rPr>
          <w:rFonts w:ascii="宋体" w:hAnsi="宋体" w:cs="宋体"/>
          <w:sz w:val="24"/>
        </w:rPr>
      </w:pPr>
      <w:bookmarkStart w:id="189" w:name="_Toc22537_WPSOffice_Level1"/>
      <w:bookmarkStart w:id="190" w:name="_Toc29358_WPSOffice_Level1"/>
      <w:bookmarkStart w:id="191" w:name="_Toc14950"/>
      <w:bookmarkStart w:id="192" w:name="_Toc3984_WPSOffice_Level1"/>
      <w:bookmarkStart w:id="193" w:name="_Toc4364_WPSOffice_Level1"/>
      <w:r>
        <w:rPr>
          <w:rFonts w:hint="eastAsia" w:ascii="宋体" w:hAnsi="宋体" w:cs="宋体"/>
          <w:sz w:val="24"/>
        </w:rPr>
        <w:t>（6）甲乙双方商定的其他文件。</w:t>
      </w:r>
      <w:bookmarkEnd w:id="189"/>
      <w:bookmarkEnd w:id="190"/>
      <w:bookmarkEnd w:id="191"/>
      <w:bookmarkEnd w:id="192"/>
      <w:bookmarkEnd w:id="193"/>
    </w:p>
    <w:p>
      <w:pPr>
        <w:spacing w:line="560" w:lineRule="exact"/>
        <w:ind w:firstLine="480" w:firstLineChars="200"/>
        <w:rPr>
          <w:rFonts w:ascii="宋体" w:hAnsi="宋体" w:cs="宋体"/>
          <w:sz w:val="24"/>
        </w:rPr>
      </w:pPr>
      <w:r>
        <w:rPr>
          <w:rFonts w:hint="eastAsia" w:ascii="宋体" w:hAnsi="宋体" w:cs="宋体"/>
          <w:sz w:val="24"/>
        </w:rPr>
        <w:t>第四条  权利保证</w:t>
      </w:r>
    </w:p>
    <w:p>
      <w:pPr>
        <w:spacing w:line="560" w:lineRule="exact"/>
        <w:ind w:firstLine="480" w:firstLineChars="200"/>
        <w:rPr>
          <w:rFonts w:ascii="宋体" w:hAnsi="宋体" w:cs="宋体"/>
          <w:sz w:val="24"/>
        </w:rPr>
      </w:pPr>
      <w:r>
        <w:rPr>
          <w:rFonts w:hint="eastAsia" w:ascii="宋体" w:hAnsi="宋体" w:cs="宋体"/>
          <w:sz w:val="24"/>
        </w:rPr>
        <w:t>乙方应保证甲方在使用该货物或其任何一部分时不受第三方提出侵犯其专利权、版权、商标权或其他权利的起诉。一旦出现侵权，乙方应承担全部责任。</w:t>
      </w:r>
    </w:p>
    <w:p>
      <w:pPr>
        <w:spacing w:line="560" w:lineRule="exact"/>
        <w:ind w:firstLine="480" w:firstLineChars="200"/>
        <w:rPr>
          <w:rFonts w:ascii="宋体" w:hAnsi="宋体" w:cs="宋体"/>
          <w:sz w:val="24"/>
        </w:rPr>
      </w:pPr>
      <w:r>
        <w:rPr>
          <w:rFonts w:hint="eastAsia" w:ascii="宋体" w:hAnsi="宋体" w:cs="宋体"/>
          <w:sz w:val="24"/>
        </w:rPr>
        <w:t>第五条  质量保证</w:t>
      </w:r>
    </w:p>
    <w:p>
      <w:pPr>
        <w:spacing w:line="560" w:lineRule="exact"/>
        <w:ind w:firstLine="480" w:firstLineChars="200"/>
        <w:rPr>
          <w:rFonts w:ascii="宋体" w:hAnsi="宋体" w:cs="宋体"/>
          <w:sz w:val="24"/>
        </w:rPr>
      </w:pPr>
      <w:r>
        <w:rPr>
          <w:rFonts w:hint="eastAsia" w:ascii="宋体" w:hAnsi="宋体" w:cs="宋体"/>
          <w:sz w:val="24"/>
        </w:rPr>
        <w:t>1、乙方所提供的货物的技术规格应与比选文件规定的技术规格相一致；若技术性能无特殊说明，则按国家有关部门最新颁布的标准及规范为准。</w:t>
      </w:r>
    </w:p>
    <w:p>
      <w:pPr>
        <w:spacing w:line="5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560" w:lineRule="exact"/>
        <w:ind w:firstLine="480" w:firstLineChars="200"/>
        <w:rPr>
          <w:rFonts w:ascii="宋体" w:hAnsi="宋体" w:cs="宋体"/>
          <w:sz w:val="24"/>
        </w:rPr>
      </w:pPr>
      <w:r>
        <w:rPr>
          <w:rFonts w:hint="eastAsia" w:ascii="宋体" w:hAnsi="宋体" w:cs="宋体"/>
          <w:sz w:val="24"/>
        </w:rPr>
        <w:t>第六条  包装要求</w:t>
      </w:r>
    </w:p>
    <w:p>
      <w:pPr>
        <w:spacing w:line="560" w:lineRule="exact"/>
        <w:ind w:firstLine="480" w:firstLineChars="200"/>
        <w:rPr>
          <w:rFonts w:ascii="宋体" w:hAnsi="宋体" w:cs="宋体"/>
          <w:sz w:val="24"/>
        </w:rPr>
      </w:pPr>
      <w:r>
        <w:rPr>
          <w:rFonts w:hint="eastAsia" w:ascii="宋体" w:hAnsi="宋体" w:cs="宋体"/>
          <w:sz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560" w:lineRule="exact"/>
        <w:ind w:firstLine="480" w:firstLineChars="200"/>
        <w:rPr>
          <w:rFonts w:ascii="宋体" w:hAnsi="宋体" w:cs="宋体"/>
          <w:sz w:val="24"/>
        </w:rPr>
      </w:pPr>
      <w:r>
        <w:rPr>
          <w:rFonts w:hint="eastAsia" w:ascii="宋体" w:hAnsi="宋体" w:cs="宋体"/>
          <w:sz w:val="24"/>
        </w:rPr>
        <w:t>2、每一包装单元内应附详细的装箱单和质量合格凭证。</w:t>
      </w:r>
    </w:p>
    <w:p>
      <w:pPr>
        <w:spacing w:line="560" w:lineRule="exact"/>
        <w:ind w:firstLine="480" w:firstLineChars="200"/>
        <w:rPr>
          <w:rFonts w:ascii="宋体" w:hAnsi="宋体" w:cs="宋体"/>
          <w:sz w:val="24"/>
        </w:rPr>
      </w:pPr>
      <w:r>
        <w:rPr>
          <w:rFonts w:hint="eastAsia" w:ascii="宋体" w:hAnsi="宋体" w:cs="宋体"/>
          <w:sz w:val="24"/>
        </w:rPr>
        <w:t>第七条  交货和验收</w:t>
      </w:r>
    </w:p>
    <w:p>
      <w:pPr>
        <w:spacing w:line="560" w:lineRule="exact"/>
        <w:ind w:firstLine="480" w:firstLineChars="200"/>
        <w:rPr>
          <w:rFonts w:ascii="宋体" w:hAnsi="宋体" w:cs="宋体"/>
          <w:sz w:val="24"/>
        </w:rPr>
      </w:pPr>
      <w:r>
        <w:rPr>
          <w:rFonts w:hint="eastAsia" w:ascii="宋体" w:hAnsi="宋体" w:cs="宋体"/>
          <w:sz w:val="24"/>
        </w:rPr>
        <w:t>1、乙方必须在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日前全部完成其承包范围内所有货物的交付。</w:t>
      </w:r>
    </w:p>
    <w:p>
      <w:pPr>
        <w:spacing w:line="560" w:lineRule="exact"/>
        <w:ind w:firstLine="480" w:firstLineChars="200"/>
        <w:rPr>
          <w:rFonts w:ascii="宋体" w:hAnsi="宋体" w:cs="宋体"/>
          <w:sz w:val="24"/>
        </w:rPr>
      </w:pPr>
      <w:r>
        <w:rPr>
          <w:rFonts w:hint="eastAsia" w:ascii="宋体" w:hAnsi="宋体" w:cs="宋体"/>
          <w:sz w:val="24"/>
        </w:rPr>
        <w:t>2、验收由甲方组织，乙方应积极配合进行。</w:t>
      </w:r>
    </w:p>
    <w:p>
      <w:pPr>
        <w:spacing w:line="560" w:lineRule="exact"/>
        <w:ind w:firstLine="480" w:firstLineChars="200"/>
        <w:rPr>
          <w:rFonts w:ascii="宋体" w:hAnsi="宋体" w:cs="宋体"/>
          <w:sz w:val="24"/>
        </w:rPr>
      </w:pPr>
      <w:r>
        <w:rPr>
          <w:rFonts w:hint="eastAsia" w:ascii="宋体" w:hAnsi="宋体" w:cs="宋体"/>
          <w:sz w:val="24"/>
        </w:rPr>
        <w:t>第八条   货款支付</w:t>
      </w:r>
    </w:p>
    <w:p>
      <w:pPr>
        <w:spacing w:line="560" w:lineRule="exact"/>
        <w:ind w:firstLine="480" w:firstLineChars="200"/>
        <w:rPr>
          <w:rFonts w:ascii="宋体" w:hAnsi="宋体" w:cs="宋体"/>
          <w:sz w:val="24"/>
        </w:rPr>
      </w:pPr>
      <w:r>
        <w:rPr>
          <w:rFonts w:hint="eastAsia" w:ascii="宋体" w:hAnsi="宋体" w:cs="宋体"/>
          <w:sz w:val="24"/>
        </w:rPr>
        <w:t>1、本合同项下所有款项均以人民币支付。</w:t>
      </w:r>
    </w:p>
    <w:p>
      <w:pPr>
        <w:spacing w:line="560" w:lineRule="exact"/>
        <w:ind w:firstLine="480" w:firstLineChars="200"/>
        <w:rPr>
          <w:rFonts w:ascii="宋体" w:hAnsi="宋体" w:cs="宋体"/>
          <w:sz w:val="24"/>
          <w:u w:val="single"/>
        </w:rPr>
      </w:pPr>
      <w:r>
        <w:rPr>
          <w:rFonts w:hint="eastAsia" w:ascii="宋体" w:hAnsi="宋体" w:cs="宋体"/>
          <w:sz w:val="24"/>
        </w:rPr>
        <w:t>2、付款方式:</w:t>
      </w:r>
    </w:p>
    <w:p>
      <w:pPr>
        <w:spacing w:line="560" w:lineRule="exact"/>
        <w:ind w:firstLine="480" w:firstLineChars="200"/>
        <w:rPr>
          <w:rFonts w:ascii="宋体" w:hAnsi="宋体" w:cs="宋体"/>
          <w:sz w:val="24"/>
        </w:rPr>
      </w:pPr>
      <w:r>
        <w:rPr>
          <w:rFonts w:hint="eastAsia" w:ascii="宋体" w:hAnsi="宋体" w:cs="宋体"/>
          <w:sz w:val="24"/>
        </w:rPr>
        <w:t>本项目按照以下的方式支付。</w:t>
      </w:r>
    </w:p>
    <w:p>
      <w:pPr>
        <w:spacing w:line="560" w:lineRule="exact"/>
        <w:rPr>
          <w:rFonts w:hint="eastAsia" w:ascii="宋体" w:hAnsi="宋体" w:cs="宋体"/>
          <w:sz w:val="24"/>
          <w:highlight w:val="none"/>
        </w:rPr>
      </w:pPr>
      <w:r>
        <w:rPr>
          <w:rFonts w:hint="eastAsia" w:ascii="宋体" w:hAnsi="宋体" w:cs="宋体"/>
          <w:sz w:val="24"/>
        </w:rPr>
        <w:t xml:space="preserve">  </w:t>
      </w:r>
      <w:r>
        <w:rPr>
          <w:rFonts w:hint="eastAsia" w:ascii="宋体" w:hAnsi="宋体" w:cs="宋体"/>
          <w:sz w:val="24"/>
          <w:lang w:val="en-US" w:eastAsia="zh-CN"/>
        </w:rPr>
        <w:t>1、</w:t>
      </w:r>
      <w:r>
        <w:rPr>
          <w:rFonts w:hint="eastAsia" w:ascii="宋体" w:hAnsi="宋体" w:cs="宋体"/>
          <w:sz w:val="24"/>
          <w:highlight w:val="none"/>
        </w:rPr>
        <w:t xml:space="preserve"> 第一次付款：投标人将货物交付给采购人，提供送货清单</w:t>
      </w:r>
      <w:r>
        <w:rPr>
          <w:rFonts w:hint="eastAsia" w:ascii="宋体" w:hAnsi="宋体" w:cs="宋体"/>
          <w:sz w:val="24"/>
          <w:highlight w:val="none"/>
          <w:lang w:eastAsia="zh-CN"/>
        </w:rPr>
        <w:t>，采购人</w:t>
      </w:r>
      <w:r>
        <w:rPr>
          <w:rFonts w:hint="eastAsia" w:ascii="宋体" w:hAnsi="宋体" w:cs="宋体"/>
          <w:sz w:val="24"/>
          <w:highlight w:val="none"/>
        </w:rPr>
        <w:t>支付合同总价款的</w:t>
      </w:r>
      <w:r>
        <w:rPr>
          <w:rFonts w:hint="eastAsia" w:ascii="宋体" w:hAnsi="宋体" w:cs="宋体"/>
          <w:sz w:val="24"/>
          <w:highlight w:val="none"/>
          <w:lang w:val="en-US" w:eastAsia="zh-CN"/>
        </w:rPr>
        <w:t>30</w:t>
      </w:r>
      <w:r>
        <w:rPr>
          <w:rFonts w:hint="eastAsia" w:ascii="宋体" w:hAnsi="宋体" w:cs="宋体"/>
          <w:sz w:val="24"/>
          <w:highlight w:val="none"/>
        </w:rPr>
        <w:t>%，乙方需提供正规的增值税普通发票或专用发票。</w:t>
      </w:r>
      <w:r>
        <w:rPr>
          <w:rFonts w:hint="eastAsia" w:ascii="宋体" w:hAnsi="宋体" w:cs="宋体"/>
          <w:sz w:val="24"/>
          <w:highlight w:val="none"/>
        </w:rPr>
        <w:br w:type="textWrapping"/>
      </w:r>
      <w:r>
        <w:rPr>
          <w:rFonts w:hint="eastAsia" w:ascii="宋体" w:hAnsi="宋体" w:cs="宋体"/>
          <w:sz w:val="24"/>
          <w:highlight w:val="none"/>
        </w:rPr>
        <w:t xml:space="preserve">  </w:t>
      </w:r>
      <w:r>
        <w:rPr>
          <w:rFonts w:hint="eastAsia" w:ascii="宋体" w:hAnsi="宋体" w:cs="宋体"/>
          <w:sz w:val="24"/>
          <w:highlight w:val="none"/>
          <w:lang w:val="en-US" w:eastAsia="zh-CN"/>
        </w:rPr>
        <w:t>2、</w:t>
      </w:r>
      <w:r>
        <w:rPr>
          <w:rFonts w:hint="eastAsia" w:ascii="宋体" w:hAnsi="宋体" w:cs="宋体"/>
          <w:sz w:val="24"/>
          <w:highlight w:val="none"/>
        </w:rPr>
        <w:t xml:space="preserve">第二次付款：待投标人产品安装完成并验收合格后，采购人支付合同总金额的 </w:t>
      </w:r>
      <w:r>
        <w:rPr>
          <w:rFonts w:hint="eastAsia" w:ascii="宋体" w:hAnsi="宋体" w:cs="宋体"/>
          <w:sz w:val="24"/>
          <w:highlight w:val="none"/>
          <w:lang w:val="en-US" w:eastAsia="zh-CN"/>
        </w:rPr>
        <w:t>65</w:t>
      </w:r>
      <w:r>
        <w:rPr>
          <w:rFonts w:hint="eastAsia" w:ascii="宋体" w:hAnsi="宋体" w:cs="宋体"/>
          <w:sz w:val="24"/>
          <w:highlight w:val="none"/>
        </w:rPr>
        <w:t>%，乙方需提供正规的增值税普通发票或专用发票。</w:t>
      </w:r>
    </w:p>
    <w:p>
      <w:pPr>
        <w:spacing w:line="560" w:lineRule="exac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第</w:t>
      </w:r>
      <w:r>
        <w:rPr>
          <w:rFonts w:hint="eastAsia" w:ascii="宋体" w:hAnsi="宋体" w:cs="宋体"/>
          <w:sz w:val="24"/>
          <w:highlight w:val="none"/>
          <w:lang w:eastAsia="zh-CN"/>
        </w:rPr>
        <w:t>三</w:t>
      </w:r>
      <w:r>
        <w:rPr>
          <w:rFonts w:hint="eastAsia" w:ascii="宋体" w:hAnsi="宋体" w:cs="宋体"/>
          <w:sz w:val="24"/>
          <w:highlight w:val="none"/>
        </w:rPr>
        <w:t>次付款：待投标人产品安装完成并验收合格后</w:t>
      </w:r>
      <w:r>
        <w:rPr>
          <w:rFonts w:hint="eastAsia" w:ascii="宋体" w:hAnsi="宋体" w:cs="宋体"/>
          <w:sz w:val="24"/>
          <w:highlight w:val="none"/>
          <w:lang w:eastAsia="zh-CN"/>
        </w:rPr>
        <w:t>满</w:t>
      </w:r>
      <w:r>
        <w:rPr>
          <w:rFonts w:hint="eastAsia" w:ascii="宋体" w:hAnsi="宋体" w:cs="宋体"/>
          <w:sz w:val="24"/>
          <w:highlight w:val="none"/>
        </w:rPr>
        <w:t>1</w:t>
      </w:r>
      <w:r>
        <w:rPr>
          <w:rFonts w:hint="eastAsia" w:ascii="宋体" w:hAnsi="宋体" w:cs="宋体"/>
          <w:sz w:val="24"/>
          <w:highlight w:val="none"/>
          <w:lang w:eastAsia="zh-Hans"/>
        </w:rPr>
        <w:t>年</w:t>
      </w:r>
      <w:r>
        <w:rPr>
          <w:rFonts w:hint="eastAsia" w:ascii="宋体" w:hAnsi="宋体" w:cs="宋体"/>
          <w:sz w:val="24"/>
          <w:highlight w:val="none"/>
        </w:rPr>
        <w:t>，采购人支付合同总金额的</w:t>
      </w:r>
      <w:r>
        <w:rPr>
          <w:rFonts w:hint="eastAsia" w:ascii="宋体" w:hAnsi="宋体" w:cs="宋体"/>
          <w:sz w:val="24"/>
          <w:highlight w:val="none"/>
          <w:lang w:val="en-US" w:eastAsia="zh-CN"/>
        </w:rPr>
        <w:t>5</w:t>
      </w:r>
      <w:r>
        <w:rPr>
          <w:rFonts w:hint="eastAsia" w:ascii="宋体" w:hAnsi="宋体" w:cs="宋体"/>
          <w:sz w:val="24"/>
          <w:highlight w:val="none"/>
        </w:rPr>
        <w:t>%，乙方需提供正规的增值税普通发票或专用发票。</w:t>
      </w:r>
    </w:p>
    <w:p>
      <w:pPr>
        <w:numPr>
          <w:ilvl w:val="0"/>
          <w:numId w:val="0"/>
        </w:numPr>
        <w:spacing w:line="560" w:lineRule="exact"/>
        <w:rPr>
          <w:rFonts w:eastAsia="Sim Sun+ 2"/>
        </w:rPr>
      </w:pPr>
      <w:r>
        <w:rPr>
          <w:rFonts w:hint="eastAsia" w:ascii="宋体" w:hAnsi="宋体" w:cs="宋体"/>
          <w:sz w:val="24"/>
          <w:lang w:val="en-US" w:eastAsia="zh-CN"/>
        </w:rPr>
        <w:t>4、</w:t>
      </w:r>
      <w:r>
        <w:rPr>
          <w:rFonts w:hint="eastAsia" w:ascii="宋体" w:hAnsi="宋体" w:cs="宋体"/>
          <w:sz w:val="24"/>
        </w:rPr>
        <w:t>付款前乙方须向甲方出具合法有效完整的完税发票及凭证资料进行支付结算。</w:t>
      </w:r>
      <w:r>
        <w:rPr>
          <w:rFonts w:hint="eastAsia"/>
        </w:rPr>
        <w:t xml:space="preserve">   </w:t>
      </w:r>
    </w:p>
    <w:p>
      <w:pPr>
        <w:spacing w:line="560" w:lineRule="exact"/>
        <w:ind w:firstLine="480" w:firstLineChars="200"/>
        <w:rPr>
          <w:rFonts w:ascii="宋体" w:hAnsi="宋体" w:cs="宋体"/>
          <w:sz w:val="24"/>
        </w:rPr>
      </w:pPr>
      <w:r>
        <w:rPr>
          <w:rFonts w:hint="eastAsia" w:ascii="宋体" w:hAnsi="宋体" w:cs="宋体"/>
          <w:sz w:val="24"/>
        </w:rPr>
        <w:t>第九条　售后服务</w:t>
      </w:r>
    </w:p>
    <w:p>
      <w:pPr>
        <w:spacing w:line="560" w:lineRule="exact"/>
        <w:ind w:firstLine="480" w:firstLineChars="200"/>
        <w:rPr>
          <w:rFonts w:ascii="宋体" w:hAnsi="宋体" w:cs="宋体"/>
          <w:sz w:val="24"/>
        </w:rPr>
      </w:pPr>
      <w:r>
        <w:rPr>
          <w:rFonts w:hint="eastAsia" w:ascii="宋体" w:hAnsi="宋体" w:cs="宋体"/>
          <w:sz w:val="24"/>
        </w:rPr>
        <w:t>1、质保期</w:t>
      </w:r>
      <w:r>
        <w:rPr>
          <w:rFonts w:hint="eastAsia" w:ascii="宋体" w:hAnsi="宋体" w:cs="宋体"/>
          <w:sz w:val="24"/>
          <w:u w:val="single"/>
        </w:rPr>
        <w:t xml:space="preserve">   </w:t>
      </w:r>
      <w:r>
        <w:rPr>
          <w:rFonts w:hint="eastAsia" w:ascii="宋体" w:hAnsi="宋体" w:cs="宋体"/>
          <w:sz w:val="24"/>
        </w:rPr>
        <w:t>年。质保期内出现质量问题，乙方在接到通知后</w:t>
      </w:r>
      <w:r>
        <w:rPr>
          <w:rFonts w:hint="eastAsia" w:ascii="宋体" w:hAnsi="宋体" w:cs="宋体"/>
          <w:sz w:val="24"/>
          <w:u w:val="single"/>
        </w:rPr>
        <w:t xml:space="preserve">  </w:t>
      </w:r>
      <w:r>
        <w:rPr>
          <w:rFonts w:hint="eastAsia" w:ascii="宋体" w:hAnsi="宋体" w:cs="宋体"/>
          <w:sz w:val="24"/>
        </w:rPr>
        <w:t>小时内响应到场，</w:t>
      </w:r>
      <w:r>
        <w:rPr>
          <w:rFonts w:hint="eastAsia" w:ascii="宋体" w:hAnsi="宋体" w:cs="宋体"/>
          <w:sz w:val="24"/>
          <w:u w:val="single"/>
        </w:rPr>
        <w:t xml:space="preserve">  </w:t>
      </w:r>
      <w:r>
        <w:rPr>
          <w:rFonts w:hint="eastAsia" w:ascii="宋体" w:hAnsi="宋体" w:cs="宋体"/>
          <w:sz w:val="24"/>
        </w:rPr>
        <w:t>小时内完成维修或更换，并承担修理调换的费用；如货物经乙方</w:t>
      </w:r>
      <w:r>
        <w:rPr>
          <w:rFonts w:hint="eastAsia" w:ascii="宋体" w:hAnsi="宋体" w:cs="宋体"/>
          <w:sz w:val="24"/>
          <w:u w:val="single"/>
        </w:rPr>
        <w:t xml:space="preserve">  </w:t>
      </w:r>
      <w:r>
        <w:rPr>
          <w:rFonts w:hint="eastAsia" w:ascii="宋体" w:hAnsi="宋体" w:cs="宋体"/>
          <w:sz w:val="24"/>
        </w:rPr>
        <w:t>次维修仍不能达到本合同约定的质量标准，视作乙方未能按时交货，甲方有权退货并追究乙方的违约责任。货到现场后由于甲方保管不当造成的问题，乙方亦应负责修复，但费用由甲方负担。</w:t>
      </w:r>
    </w:p>
    <w:p>
      <w:pPr>
        <w:spacing w:line="560" w:lineRule="exact"/>
        <w:ind w:firstLine="480" w:firstLineChars="200"/>
        <w:rPr>
          <w:rFonts w:ascii="宋体" w:hAnsi="宋体" w:cs="宋体"/>
          <w:sz w:val="24"/>
        </w:rPr>
      </w:pPr>
      <w:r>
        <w:rPr>
          <w:rFonts w:hint="eastAsia" w:ascii="宋体" w:hAnsi="宋体" w:cs="宋体"/>
          <w:sz w:val="24"/>
        </w:rPr>
        <w:t>2、乙方须指派专人负责与甲方联系售后服务事宜。</w:t>
      </w:r>
    </w:p>
    <w:p>
      <w:pPr>
        <w:pStyle w:val="16"/>
        <w:spacing w:line="560" w:lineRule="exact"/>
        <w:rPr>
          <w:rFonts w:ascii="宋体" w:hAnsi="宋体" w:cs="宋体"/>
          <w:sz w:val="24"/>
        </w:rPr>
      </w:pPr>
      <w:r>
        <w:rPr>
          <w:rFonts w:hint="eastAsia" w:ascii="宋体" w:hAnsi="宋体" w:cs="宋体"/>
          <w:sz w:val="24"/>
        </w:rPr>
        <w:t xml:space="preserve">    3、乙方应为甲方的仪器操作人员提供免费的操作及维护培训。</w:t>
      </w:r>
    </w:p>
    <w:p>
      <w:pPr>
        <w:spacing w:line="560" w:lineRule="exact"/>
        <w:ind w:firstLine="480" w:firstLineChars="200"/>
        <w:rPr>
          <w:rFonts w:ascii="宋体" w:hAnsi="宋体" w:cs="宋体"/>
          <w:sz w:val="24"/>
        </w:rPr>
      </w:pPr>
      <w:r>
        <w:rPr>
          <w:rFonts w:hint="eastAsia" w:ascii="宋体" w:hAnsi="宋体" w:cs="宋体"/>
          <w:sz w:val="24"/>
        </w:rPr>
        <w:t>第十条　违约责任</w:t>
      </w:r>
    </w:p>
    <w:p>
      <w:pPr>
        <w:spacing w:line="560" w:lineRule="exact"/>
        <w:ind w:firstLine="480" w:firstLineChars="200"/>
        <w:rPr>
          <w:rFonts w:ascii="宋体" w:hAnsi="宋体" w:cs="宋体"/>
          <w:sz w:val="24"/>
        </w:rPr>
      </w:pPr>
      <w:r>
        <w:rPr>
          <w:rFonts w:hint="eastAsia" w:ascii="宋体" w:hAnsi="宋体" w:cs="宋体"/>
          <w:sz w:val="24"/>
        </w:rPr>
        <w:t>（一）甲乙双方必须遵守本合同并执行合同中的各项规定，保证本合同的正常履行。</w:t>
      </w:r>
    </w:p>
    <w:p>
      <w:pPr>
        <w:spacing w:line="560" w:lineRule="exact"/>
        <w:ind w:firstLine="480" w:firstLineChars="200"/>
        <w:rPr>
          <w:rFonts w:ascii="宋体" w:hAnsi="宋体" w:cs="宋体"/>
          <w:sz w:val="24"/>
        </w:rPr>
      </w:pPr>
      <w:r>
        <w:rPr>
          <w:rFonts w:hint="eastAsia" w:ascii="宋体" w:hAnsi="宋体" w:cs="宋体"/>
          <w:sz w:val="24"/>
        </w:rPr>
        <w:t>（二）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560" w:lineRule="exact"/>
        <w:ind w:firstLine="480" w:firstLineChars="200"/>
        <w:rPr>
          <w:rFonts w:ascii="宋体" w:hAnsi="宋体" w:cs="宋体"/>
          <w:sz w:val="24"/>
        </w:rPr>
      </w:pPr>
      <w:r>
        <w:rPr>
          <w:rFonts w:hint="eastAsia" w:ascii="宋体" w:hAnsi="宋体" w:cs="宋体"/>
          <w:sz w:val="24"/>
        </w:rPr>
        <w:t>第十一条　合同的变更和终止</w:t>
      </w:r>
    </w:p>
    <w:p>
      <w:pPr>
        <w:spacing w:line="560" w:lineRule="exact"/>
        <w:ind w:firstLine="480" w:firstLineChars="200"/>
        <w:rPr>
          <w:rFonts w:ascii="宋体" w:hAnsi="宋体" w:cs="宋体"/>
          <w:sz w:val="24"/>
        </w:rPr>
      </w:pPr>
      <w:r>
        <w:rPr>
          <w:rFonts w:hint="eastAsia" w:ascii="宋体" w:hAnsi="宋体" w:cs="宋体"/>
          <w:sz w:val="24"/>
        </w:rPr>
        <w:t>本合同一经签订，甲乙双方不得擅自变更、中止或终止合同。对合同款做出的任何改动，均须由双方签署书面的合同修改书为有效。</w:t>
      </w:r>
    </w:p>
    <w:p>
      <w:pPr>
        <w:spacing w:line="560" w:lineRule="exact"/>
        <w:ind w:firstLine="480" w:firstLineChars="200"/>
        <w:outlineLvl w:val="0"/>
        <w:rPr>
          <w:rFonts w:ascii="宋体" w:hAnsi="宋体" w:cs="宋体"/>
          <w:sz w:val="24"/>
        </w:rPr>
      </w:pPr>
      <w:bookmarkStart w:id="194" w:name="_Toc19047"/>
      <w:bookmarkStart w:id="195" w:name="_Toc12843_WPSOffice_Level1"/>
      <w:bookmarkStart w:id="196" w:name="_Toc5887_WPSOffice_Level1"/>
      <w:bookmarkStart w:id="197" w:name="_Toc29534_WPSOffice_Level1"/>
      <w:bookmarkStart w:id="198" w:name="_Toc32211_WPSOffice_Level1"/>
      <w:r>
        <w:rPr>
          <w:rFonts w:hint="eastAsia" w:ascii="宋体" w:hAnsi="宋体" w:cs="宋体"/>
          <w:sz w:val="24"/>
        </w:rPr>
        <w:t>第十四条　合同的转让</w:t>
      </w:r>
      <w:bookmarkEnd w:id="194"/>
      <w:bookmarkEnd w:id="195"/>
      <w:bookmarkEnd w:id="196"/>
      <w:bookmarkEnd w:id="197"/>
      <w:bookmarkEnd w:id="198"/>
    </w:p>
    <w:p>
      <w:pPr>
        <w:spacing w:line="560" w:lineRule="exact"/>
        <w:ind w:firstLine="480" w:firstLineChars="200"/>
        <w:rPr>
          <w:rFonts w:ascii="宋体" w:hAnsi="宋体" w:cs="宋体"/>
          <w:sz w:val="24"/>
        </w:rPr>
      </w:pPr>
      <w:r>
        <w:rPr>
          <w:rFonts w:hint="eastAsia" w:ascii="宋体" w:hAnsi="宋体" w:cs="宋体"/>
          <w:sz w:val="24"/>
        </w:rPr>
        <w:t>乙方不得擅自部分或全部转让其应履行的合同义务。</w:t>
      </w:r>
    </w:p>
    <w:p>
      <w:pPr>
        <w:spacing w:line="560" w:lineRule="exact"/>
        <w:ind w:firstLine="480" w:firstLineChars="200"/>
        <w:rPr>
          <w:rFonts w:ascii="宋体" w:hAnsi="宋体" w:cs="宋体"/>
          <w:sz w:val="24"/>
        </w:rPr>
      </w:pPr>
      <w:r>
        <w:rPr>
          <w:rFonts w:hint="eastAsia" w:ascii="宋体" w:hAnsi="宋体" w:cs="宋体"/>
          <w:sz w:val="24"/>
        </w:rPr>
        <w:t>第十二条  争议的解决</w:t>
      </w:r>
    </w:p>
    <w:p>
      <w:pPr>
        <w:spacing w:line="560" w:lineRule="exact"/>
        <w:ind w:firstLine="480" w:firstLineChars="200"/>
        <w:rPr>
          <w:rFonts w:ascii="宋体" w:hAnsi="宋体" w:cs="宋体"/>
          <w:sz w:val="24"/>
        </w:rPr>
      </w:pPr>
      <w:r>
        <w:rPr>
          <w:rFonts w:hint="eastAsia" w:ascii="宋体" w:hAnsi="宋体" w:cs="宋体"/>
          <w:sz w:val="24"/>
        </w:rPr>
        <w:t>执行本合同中发生的或与本合同有关的争端，双方应通过友好协商的方式解决，若在60天内不能达成协议时，向甲方所在地人民法院提请诉讼。</w:t>
      </w:r>
    </w:p>
    <w:p>
      <w:pPr>
        <w:spacing w:line="560" w:lineRule="exact"/>
        <w:ind w:firstLine="480" w:firstLineChars="200"/>
        <w:rPr>
          <w:rFonts w:ascii="宋体" w:hAnsi="宋体" w:cs="宋体"/>
          <w:sz w:val="24"/>
        </w:rPr>
      </w:pPr>
      <w:r>
        <w:rPr>
          <w:rFonts w:hint="eastAsia" w:ascii="宋体" w:hAnsi="宋体" w:cs="宋体"/>
          <w:sz w:val="24"/>
        </w:rPr>
        <w:t>第十三条   合同生效及其他</w:t>
      </w:r>
    </w:p>
    <w:p>
      <w:pPr>
        <w:spacing w:line="480" w:lineRule="exact"/>
        <w:ind w:firstLine="480" w:firstLineChars="200"/>
        <w:rPr>
          <w:rFonts w:ascii="宋体" w:hAnsi="宋体" w:cs="宋体"/>
          <w:sz w:val="24"/>
        </w:rPr>
      </w:pPr>
      <w:r>
        <w:rPr>
          <w:rFonts w:hint="eastAsia" w:ascii="宋体" w:hAnsi="宋体" w:cs="宋体"/>
          <w:sz w:val="24"/>
        </w:rPr>
        <w:t>1．本合同双方签章之日起生效。</w:t>
      </w:r>
    </w:p>
    <w:p>
      <w:pPr>
        <w:spacing w:line="480" w:lineRule="exact"/>
        <w:ind w:firstLine="480" w:firstLineChars="200"/>
        <w:rPr>
          <w:rFonts w:ascii="宋体" w:hAnsi="宋体" w:cs="宋体"/>
          <w:sz w:val="24"/>
        </w:rPr>
      </w:pPr>
      <w:r>
        <w:rPr>
          <w:rFonts w:hint="eastAsia" w:ascii="宋体" w:hAnsi="宋体" w:cs="宋体"/>
          <w:sz w:val="24"/>
        </w:rPr>
        <w:t>2．本合同一式</w:t>
      </w:r>
      <w:r>
        <w:rPr>
          <w:rFonts w:hint="eastAsia" w:ascii="宋体" w:hAnsi="宋体" w:cs="宋体"/>
          <w:sz w:val="24"/>
          <w:u w:val="single"/>
        </w:rPr>
        <w:t xml:space="preserve">   </w:t>
      </w:r>
      <w:r>
        <w:rPr>
          <w:rFonts w:hint="eastAsia" w:ascii="宋体" w:hAnsi="宋体" w:cs="宋体"/>
          <w:sz w:val="24"/>
        </w:rPr>
        <w:t>份，甲乙双方各执</w:t>
      </w:r>
      <w:r>
        <w:rPr>
          <w:rFonts w:hint="eastAsia" w:ascii="宋体" w:hAnsi="宋体" w:cs="宋体"/>
          <w:sz w:val="24"/>
          <w:u w:val="single"/>
        </w:rPr>
        <w:t xml:space="preserve">   </w:t>
      </w:r>
      <w:r>
        <w:rPr>
          <w:rFonts w:hint="eastAsia" w:ascii="宋体" w:hAnsi="宋体" w:cs="宋体"/>
          <w:sz w:val="24"/>
        </w:rPr>
        <w:t>份，采购代理机构执</w:t>
      </w:r>
      <w:r>
        <w:rPr>
          <w:rFonts w:hint="eastAsia" w:ascii="宋体" w:hAnsi="宋体" w:cs="宋体"/>
          <w:sz w:val="24"/>
          <w:u w:val="single"/>
        </w:rPr>
        <w:t>壹</w:t>
      </w:r>
      <w:r>
        <w:rPr>
          <w:rFonts w:hint="eastAsia" w:ascii="宋体" w:hAnsi="宋体" w:cs="宋体"/>
          <w:sz w:val="24"/>
        </w:rPr>
        <w:t>份。</w:t>
      </w:r>
    </w:p>
    <w:p>
      <w:pPr>
        <w:spacing w:line="560" w:lineRule="exact"/>
        <w:ind w:firstLine="480" w:firstLineChars="200"/>
        <w:rPr>
          <w:rFonts w:ascii="宋体" w:hAnsi="宋体" w:cs="宋体"/>
          <w:sz w:val="24"/>
        </w:rPr>
      </w:pPr>
      <w:r>
        <w:rPr>
          <w:rFonts w:hint="eastAsia" w:ascii="宋体" w:hAnsi="宋体" w:cs="宋体"/>
          <w:sz w:val="24"/>
        </w:rPr>
        <w:t>3．本合同未尽事宜，由双方友好协商解决。</w:t>
      </w:r>
    </w:p>
    <w:p>
      <w:pPr>
        <w:spacing w:line="560" w:lineRule="exact"/>
        <w:ind w:firstLine="480" w:firstLineChars="200"/>
        <w:rPr>
          <w:rFonts w:ascii="宋体" w:hAnsi="宋体" w:cs="宋体"/>
          <w:sz w:val="24"/>
        </w:rPr>
      </w:pPr>
    </w:p>
    <w:p>
      <w:pPr>
        <w:spacing w:line="560" w:lineRule="exact"/>
        <w:rPr>
          <w:rFonts w:ascii="宋体" w:hAnsi="宋体" w:cs="宋体"/>
          <w:sz w:val="24"/>
        </w:rPr>
      </w:pPr>
      <w:r>
        <w:rPr>
          <w:rFonts w:hint="eastAsia" w:ascii="宋体" w:hAnsi="宋体" w:cs="宋体"/>
          <w:sz w:val="24"/>
        </w:rPr>
        <w:t>（以下无正文）</w:t>
      </w:r>
    </w:p>
    <w:p>
      <w:pPr>
        <w:pStyle w:val="16"/>
        <w:rPr>
          <w:rFonts w:ascii="宋体" w:hAnsi="宋体" w:cs="宋体"/>
        </w:rPr>
      </w:pPr>
    </w:p>
    <w:p>
      <w:pPr>
        <w:spacing w:line="560" w:lineRule="exact"/>
        <w:ind w:firstLine="480" w:firstLineChars="200"/>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pacing w:line="560" w:lineRule="exact"/>
        <w:ind w:firstLine="480" w:firstLineChars="200"/>
        <w:rPr>
          <w:rFonts w:ascii="宋体" w:hAnsi="宋体" w:cs="宋体"/>
          <w:sz w:val="24"/>
        </w:rPr>
      </w:pPr>
      <w:r>
        <w:rPr>
          <w:rFonts w:hint="eastAsia" w:ascii="宋体" w:hAnsi="宋体" w:cs="宋体"/>
          <w:sz w:val="24"/>
        </w:rPr>
        <w:t>法定代表人（授权代表）：             法定代表人（授权代表）：</w:t>
      </w:r>
    </w:p>
    <w:p>
      <w:pPr>
        <w:spacing w:line="560" w:lineRule="exact"/>
        <w:ind w:firstLine="480" w:firstLineChars="200"/>
        <w:rPr>
          <w:rFonts w:ascii="宋体" w:hAnsi="宋体" w:cs="宋体"/>
          <w:sz w:val="24"/>
        </w:rPr>
      </w:pPr>
      <w:r>
        <w:rPr>
          <w:rFonts w:hint="eastAsia" w:ascii="宋体" w:hAnsi="宋体" w:cs="宋体"/>
          <w:sz w:val="24"/>
        </w:rPr>
        <w:t>地    址：                           地    址：</w:t>
      </w:r>
    </w:p>
    <w:p>
      <w:pPr>
        <w:spacing w:line="560" w:lineRule="exact"/>
        <w:ind w:firstLine="480" w:firstLineChars="200"/>
        <w:rPr>
          <w:rFonts w:ascii="宋体" w:hAnsi="宋体" w:cs="宋体"/>
          <w:sz w:val="24"/>
        </w:rPr>
      </w:pPr>
      <w:r>
        <w:rPr>
          <w:rFonts w:hint="eastAsia" w:ascii="宋体" w:hAnsi="宋体" w:cs="宋体"/>
          <w:sz w:val="24"/>
        </w:rPr>
        <w:t>开户银行：                           开户银行：</w:t>
      </w:r>
    </w:p>
    <w:p>
      <w:pPr>
        <w:spacing w:line="560" w:lineRule="exact"/>
        <w:ind w:firstLine="480" w:firstLineChars="200"/>
        <w:rPr>
          <w:rFonts w:ascii="宋体" w:hAnsi="宋体" w:cs="宋体"/>
          <w:sz w:val="24"/>
        </w:rPr>
      </w:pPr>
      <w:r>
        <w:rPr>
          <w:rFonts w:hint="eastAsia" w:ascii="宋体" w:hAnsi="宋体" w:cs="宋体"/>
          <w:sz w:val="24"/>
        </w:rPr>
        <w:t>账号：                               账号：</w:t>
      </w:r>
    </w:p>
    <w:p>
      <w:pPr>
        <w:spacing w:line="560" w:lineRule="exact"/>
        <w:ind w:firstLine="480" w:firstLineChars="200"/>
        <w:rPr>
          <w:rFonts w:ascii="宋体" w:hAnsi="宋体" w:cs="宋体"/>
          <w:sz w:val="24"/>
        </w:rPr>
      </w:pPr>
      <w:r>
        <w:rPr>
          <w:rFonts w:hint="eastAsia" w:ascii="宋体" w:hAnsi="宋体" w:cs="宋体"/>
          <w:sz w:val="24"/>
        </w:rPr>
        <w:t>电    话：                           电    话：</w:t>
      </w:r>
    </w:p>
    <w:p>
      <w:pPr>
        <w:spacing w:line="560" w:lineRule="exact"/>
        <w:ind w:firstLine="480" w:firstLineChars="200"/>
        <w:rPr>
          <w:rFonts w:ascii="宋体" w:hAnsi="宋体" w:cs="宋体"/>
          <w:sz w:val="24"/>
        </w:rPr>
      </w:pPr>
      <w:r>
        <w:rPr>
          <w:rFonts w:hint="eastAsia" w:ascii="宋体" w:hAnsi="宋体" w:cs="宋体"/>
          <w:sz w:val="24"/>
        </w:rPr>
        <w:t>传    真：                           传    真：</w:t>
      </w:r>
    </w:p>
    <w:p>
      <w:pPr>
        <w:spacing w:line="560" w:lineRule="exact"/>
        <w:ind w:firstLine="480" w:firstLineChars="200"/>
        <w:rPr>
          <w:rFonts w:ascii="宋体" w:hAnsi="宋体" w:cs="宋体"/>
          <w:sz w:val="24"/>
        </w:rPr>
      </w:pPr>
      <w:r>
        <w:rPr>
          <w:rFonts w:hint="eastAsia" w:ascii="宋体" w:hAnsi="宋体" w:cs="宋体"/>
          <w:sz w:val="24"/>
        </w:rPr>
        <w:t>签约日期：XX年XX月XX日</w:t>
      </w:r>
      <w:r>
        <w:rPr>
          <w:rFonts w:hint="eastAsia" w:ascii="宋体" w:hAnsi="宋体" w:cs="宋体"/>
          <w:spacing w:val="4"/>
          <w:sz w:val="24"/>
        </w:rPr>
        <w:t xml:space="preserve">           </w:t>
      </w:r>
      <w:r>
        <w:rPr>
          <w:rFonts w:hint="eastAsia" w:ascii="宋体" w:hAnsi="宋体" w:cs="宋体"/>
          <w:sz w:val="24"/>
        </w:rPr>
        <w:t xml:space="preserve"> 签约日期：XX年XX月XX</w:t>
      </w:r>
    </w:p>
    <w:p>
      <w:pPr>
        <w:autoSpaceDE w:val="0"/>
        <w:autoSpaceDN w:val="0"/>
        <w:adjustRightInd w:val="0"/>
        <w:spacing w:line="360" w:lineRule="auto"/>
        <w:rPr>
          <w:rFonts w:ascii="宋体" w:hAnsi="宋体" w:cs="宋体"/>
          <w:kern w:val="0"/>
          <w:lang w:val="zh-CN"/>
        </w:rPr>
      </w:pPr>
    </w:p>
    <w:p>
      <w:pPr>
        <w:rPr>
          <w:rFonts w:ascii="宋体" w:hAnsi="宋体" w:cs="宋体"/>
        </w:rPr>
      </w:pPr>
    </w:p>
    <w:sectPr>
      <w:pgSz w:w="11906" w:h="16838"/>
      <w:pgMar w:top="907" w:right="1797" w:bottom="68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Sim Sun+ 2">
    <w:altName w:val="苹方-简"/>
    <w:panose1 w:val="020B0604020202020204"/>
    <w:charset w:val="86"/>
    <w:family w:val="swiss"/>
    <w:pitch w:val="default"/>
    <w:sig w:usb0="00000000" w:usb1="00000000" w:usb2="00000010" w:usb3="00000000" w:csb0="00040000" w:csb1="00000000"/>
  </w:font>
  <w:font w:name="仿宋_GB2312">
    <w:altName w:val="方正仿宋_GBK"/>
    <w:panose1 w:val="020B0604020202020204"/>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Arial">
    <w:panose1 w:val="020B0604020202090204"/>
    <w:charset w:val="00"/>
    <w:family w:val="auto"/>
    <w:pitch w:val="default"/>
    <w:sig w:usb0="E0000AFF" w:usb1="0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2000019F" w:csb1="00000000"/>
  </w:font>
  <w:font w:name="儷宋 Pro">
    <w:panose1 w:val="020203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4097" name="文本框 8"/>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upright="1">
                      <a:spAutoFit/>
                    </wps:bodyPr>
                  </wps:wsp>
                </a:graphicData>
              </a:graphic>
            </wp:anchor>
          </w:drawing>
        </mc:Choice>
        <mc:Fallback>
          <w:pict>
            <v:rect id="文本框 8" o:spid="_x0000_s1026" o:spt="1"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0v9LC0AAAAAMBAAAPAAAAAAAAAAEAIAAAADgAAABkcnMv&#10;ZG93bnJldi54bWxQSwECFAAUAAAACACHTuJA+SdGN7wBAABOAwAADgAAAAAAAAABACAAAAA1AQAA&#10;ZHJzL2Uyb0RvYy54bWxQSwUGAAAAAAYABgBZAQAAYwU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4098" name="文本框 7"/>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upright="1">
                      <a:spAutoFit/>
                    </wps:bodyPr>
                  </wps:wsp>
                </a:graphicData>
              </a:graphic>
            </wp:anchor>
          </w:drawing>
        </mc:Choice>
        <mc:Fallback>
          <w:pict>
            <v:rect id="文本框 7" o:spid="_x0000_s1026" o:spt="1" style="position:absolute;left:0pt;margin-top:0pt;height:10.35pt;width:4.55pt;mso-position-horizontal:center;mso-position-horizontal-relative:margin;mso-wrap-style:none;z-index:251660288;mso-width-relative:page;mso-height-relative:page;" filled="f" stroked="f" coordsize="21600,21600" o:gfxdata="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lRY/VtEAAAACAQAADwAAAAAAAAABACAAAAA4AAAAZHJz&#10;L2Rvd25yZXYueG1sUEsBAhQAFAAAAAgAh07iQA6ej+C8AQAATQMAAA4AAAAAAAAAAQAgAAAANgEA&#10;AGRycy9lMm9Eb2MueG1sUEsFBgAAAAAGAAYAWQEAAGQFA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3482975</wp:posOffset>
              </wp:positionH>
              <wp:positionV relativeFrom="page">
                <wp:posOffset>9794875</wp:posOffset>
              </wp:positionV>
              <wp:extent cx="558165"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before="0" w:line="301" w:lineRule="exact"/>
                            <w:ind w:left="20" w:right="0" w:firstLine="0"/>
                            <w:jc w:val="left"/>
                            <w:rPr>
                              <w:sz w:val="28"/>
                            </w:rPr>
                          </w:pPr>
                          <w:r>
                            <w:rPr>
                              <w:sz w:val="28"/>
                            </w:rPr>
                            <w:t>- 46 -</w:t>
                          </w:r>
                        </w:p>
                      </w:txbxContent>
                    </wps:txbx>
                    <wps:bodyPr lIns="0" tIns="0" rIns="0" bIns="0" upright="1"/>
                  </wps:wsp>
                </a:graphicData>
              </a:graphic>
            </wp:anchor>
          </w:drawing>
        </mc:Choice>
        <mc:Fallback>
          <w:pict>
            <v:shape id="_x0000_s1026" o:spid="_x0000_s1026" o:spt="202" type="#_x0000_t202" style="position:absolute;left:0pt;margin-left:274.25pt;margin-top:771.25pt;height:16.05pt;width:43.95pt;mso-position-horizontal-relative:page;mso-position-vertical-relative:page;z-index:-251653120;mso-width-relative:page;mso-height-relative:page;" filled="f" stroked="f" coordsize="21600,21600" o:gfxdata="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JjgBM2wAAAA0BAAAPAAAAAAAAAAEAIAAAADgAAABkcnMvZG93bnJldi54bWxQSwECFAAU&#10;AAAACACHTuJABxwYNp8BAAAjAwAADgAAAAAAAAABACAAAABAAQAAZHJzL2Uyb0RvYy54bWxQSwUG&#10;AAAAAAYABgBZAQAAUQUAAAAA&#10;">
              <v:fill on="f" focussize="0,0"/>
              <v:stroke on="f"/>
              <v:imagedata o:title=""/>
              <o:lock v:ext="edit" aspectratio="f"/>
              <v:textbox inset="0mm,0mm,0mm,0mm">
                <w:txbxContent>
                  <w:p>
                    <w:pPr>
                      <w:spacing w:before="0" w:line="301" w:lineRule="exact"/>
                      <w:ind w:left="20" w:right="0" w:firstLine="0"/>
                      <w:jc w:val="left"/>
                      <w:rPr>
                        <w:sz w:val="28"/>
                      </w:rPr>
                    </w:pPr>
                    <w:r>
                      <w:rPr>
                        <w:sz w:val="28"/>
                      </w:rPr>
                      <w:t>- 46 -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3482975</wp:posOffset>
              </wp:positionH>
              <wp:positionV relativeFrom="page">
                <wp:posOffset>9794875</wp:posOffset>
              </wp:positionV>
              <wp:extent cx="558165" cy="203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before="0" w:line="30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52</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274.25pt;margin-top:771.25pt;height:16.05pt;width:43.95pt;mso-position-horizontal-relative:page;mso-position-vertical-relative:page;z-index:-251653120;mso-width-relative:page;mso-height-relative:page;" filled="f" stroked="f" coordsize="21600,21600" o:gfxdata="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mOAEzbAAAADQEAAA8AAAAAAAAAAQAgAAAAOAAAAGRycy9kb3ducmV2LnhtbFBLAQIUABQA&#10;AAAIAIdO4kBOxSfpngEAACMDAAAOAAAAAAAAAAEAIAAAAEABAABkcnMvZTJvRG9jLnhtbFBLBQYA&#10;AAAABgAGAFkBAABQBQAAAAA=&#10;">
              <v:fill on="f" focussize="0,0"/>
              <v:stroke on="f"/>
              <v:imagedata o:title=""/>
              <o:lock v:ext="edit" aspectratio="f"/>
              <v:textbox inset="0mm,0mm,0mm,0mm">
                <w:txbxContent>
                  <w:p>
                    <w:pPr>
                      <w:spacing w:before="0" w:line="30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52</w:t>
                    </w:r>
                    <w: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3482975</wp:posOffset>
              </wp:positionH>
              <wp:positionV relativeFrom="page">
                <wp:posOffset>9794875</wp:posOffset>
              </wp:positionV>
              <wp:extent cx="558165"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before="0" w:line="30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52</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274.25pt;margin-top:771.25pt;height:16.05pt;width:43.95pt;mso-position-horizontal-relative:page;mso-position-vertical-relative:page;z-index:-251653120;mso-width-relative:page;mso-height-relative:page;" filled="f" stroked="f" coordsize="21600,21600" o:gfxdata="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mOAEzbAAAADQEAAA8AAAAAAAAAAQAgAAAAOAAAAGRycy9kb3ducmV2LnhtbFBLAQIUABQA&#10;AAAIAIdO4kC7NA5KngEAACMDAAAOAAAAAAAAAAEAIAAAAEABAABkcnMvZTJvRG9jLnhtbFBLBQYA&#10;AAAABgAGAFkBAABQBQAAAAA=&#10;">
              <v:fill on="f" focussize="0,0"/>
              <v:stroke on="f"/>
              <v:imagedata o:title=""/>
              <o:lock v:ext="edit" aspectratio="f"/>
              <v:textbox inset="0mm,0mm,0mm,0mm">
                <w:txbxContent>
                  <w:p>
                    <w:pPr>
                      <w:spacing w:before="0" w:line="30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52</w:t>
                    </w:r>
                    <w:r>
                      <w:fldChar w:fldCharType="end"/>
                    </w:r>
                    <w:r>
                      <w:rPr>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4099"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NL/SwtAAAAADAQAADwAAAAAAAAABACAAAAA4AAAAZHJz&#10;L2Rvd25yZXYueG1sUEsBAhQAFAAAAAgAh07iQBhAP+C9AQAATgMAAA4AAAAAAAAAAQAgAAAANQEA&#10;AGRycy9lMm9Eb2MueG1sUEsFBgAAAAAGAAYAWQEAAGQFA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635" b="0"/>
              <wp:wrapNone/>
              <wp:docPr id="4100" name="文本框 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vert="horz" wrap="none" lIns="0" tIns="0" rIns="0" bIns="0" anchor="t" upright="1">
                      <a:spAutoFit/>
                    </wps:bodyPr>
                  </wps:wsp>
                </a:graphicData>
              </a:graphic>
            </wp:anchor>
          </w:drawing>
        </mc:Choice>
        <mc:Fallback>
          <w:pict>
            <v:rect id="文本框 5" o:spid="_x0000_s1026" o:spt="1" style="position:absolute;left:0pt;margin-top:0pt;height:10.35pt;width:9.05pt;mso-position-horizontal:center;mso-position-horizontal-relative:margin;mso-wrap-style:none;z-index:251662336;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0v9LC0AAAAAMBAAAPAAAAAAAAAAEAIAAAADgAAABkcnMv&#10;ZG93bnJldi54bWxQSwECFAAUAAAACACHTuJA7TQs2rwBAABOAwAADgAAAAAAAAABACAAAAA1AQAA&#10;ZHJzL2Uyb0RvYy54bWxQSwUGAAAAAAYABgBZAQAAYwU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jc w:val="both"/>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chineseCounting"/>
      <w:suff w:val="nothing"/>
      <w:lvlText w:val="（%1）"/>
      <w:lvlJc w:val="left"/>
    </w:lvl>
  </w:abstractNum>
  <w:abstractNum w:abstractNumId="1">
    <w:nsid w:val="00000002"/>
    <w:multiLevelType w:val="multilevel"/>
    <w:tmpl w:val="00000002"/>
    <w:lvl w:ilvl="0" w:tentative="0">
      <w:start w:val="1"/>
      <w:numFmt w:val="japaneseCounting"/>
      <w:lvlText w:val="（%1）"/>
      <w:lvlJc w:val="left"/>
      <w:pPr>
        <w:ind w:left="1422" w:hanging="85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00000003"/>
    <w:multiLevelType w:val="singleLevel"/>
    <w:tmpl w:val="00000003"/>
    <w:lvl w:ilvl="0" w:tentative="0">
      <w:start w:val="1"/>
      <w:numFmt w:val="decimal"/>
      <w:suff w:val="nothing"/>
      <w:lvlText w:val="（%1）"/>
      <w:lvlJc w:val="left"/>
      <w:pPr>
        <w:ind w:left="-240"/>
      </w:pPr>
    </w:lvl>
  </w:abstractNum>
  <w:abstractNum w:abstractNumId="3">
    <w:nsid w:val="00000004"/>
    <w:multiLevelType w:val="multilevel"/>
    <w:tmpl w:val="00000004"/>
    <w:lvl w:ilvl="0" w:tentative="0">
      <w:start w:val="1"/>
      <w:numFmt w:val="japaneseCounting"/>
      <w:lvlText w:val="%1、"/>
      <w:lvlJc w:val="left"/>
      <w:pPr>
        <w:ind w:left="670" w:hanging="4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53208E"/>
    <w:multiLevelType w:val="singleLevel"/>
    <w:tmpl w:val="0053208E"/>
    <w:lvl w:ilvl="0" w:tentative="0">
      <w:start w:val="3"/>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val="0"/>
  <w:bordersDoNotSurroundFooter w:val="0"/>
  <w:documentProtection w:enforcement="0"/>
  <w:defaultTabStop w:val="105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E2"/>
    <w:rsid w:val="000238B6"/>
    <w:rsid w:val="002978FD"/>
    <w:rsid w:val="003B5F2D"/>
    <w:rsid w:val="005B2271"/>
    <w:rsid w:val="00766110"/>
    <w:rsid w:val="007E30E2"/>
    <w:rsid w:val="008A6D7E"/>
    <w:rsid w:val="00BC7E9F"/>
    <w:rsid w:val="00F3568C"/>
    <w:rsid w:val="00F94A82"/>
    <w:rsid w:val="0FF801A3"/>
    <w:rsid w:val="155D3A97"/>
    <w:rsid w:val="16165296"/>
    <w:rsid w:val="2DDA52B0"/>
    <w:rsid w:val="2DEA38E3"/>
    <w:rsid w:val="2FCA3C13"/>
    <w:rsid w:val="38E96F63"/>
    <w:rsid w:val="3D922282"/>
    <w:rsid w:val="4E416602"/>
    <w:rsid w:val="4EF987B8"/>
    <w:rsid w:val="516C06EE"/>
    <w:rsid w:val="52FB4D7D"/>
    <w:rsid w:val="5616741C"/>
    <w:rsid w:val="59CC52AE"/>
    <w:rsid w:val="5CE72C9A"/>
    <w:rsid w:val="607B072E"/>
    <w:rsid w:val="64B264C6"/>
    <w:rsid w:val="6A335229"/>
    <w:rsid w:val="74AA048A"/>
    <w:rsid w:val="7B7DFC87"/>
    <w:rsid w:val="7DCBA8BE"/>
    <w:rsid w:val="B36FCE95"/>
    <w:rsid w:val="BF9D5726"/>
    <w:rsid w:val="DE91D914"/>
    <w:rsid w:val="EC1D43E3"/>
    <w:rsid w:val="FF777A2C"/>
    <w:rsid w:val="FF7F2CCA"/>
    <w:rsid w:val="FFEE5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38"/>
    <w:qFormat/>
    <w:uiPriority w:val="0"/>
    <w:pPr>
      <w:keepNext/>
      <w:keepLines/>
      <w:spacing w:before="340" w:after="330" w:line="576" w:lineRule="auto"/>
      <w:outlineLvl w:val="0"/>
    </w:pPr>
    <w:rPr>
      <w:rFonts w:ascii="Times New Roman" w:hAnsi="Times New Roman" w:eastAsia="宋体" w:cs="Times New Roman"/>
      <w:b/>
      <w:bCs/>
      <w:kern w:val="44"/>
      <w:sz w:val="44"/>
      <w:szCs w:val="44"/>
      <w:lang w:val="en-US" w:eastAsia="zh-CN" w:bidi="ar-SA"/>
    </w:rPr>
  </w:style>
  <w:style w:type="paragraph" w:styleId="4">
    <w:name w:val="heading 2"/>
    <w:basedOn w:val="1"/>
    <w:next w:val="1"/>
    <w:link w:val="39"/>
    <w:qFormat/>
    <w:uiPriority w:val="0"/>
    <w:pPr>
      <w:keepNext/>
      <w:keepLines/>
      <w:spacing w:line="360" w:lineRule="auto"/>
      <w:ind w:right="-55" w:rightChars="-26"/>
      <w:jc w:val="left"/>
      <w:outlineLvl w:val="1"/>
    </w:pPr>
    <w:rPr>
      <w:rFonts w:ascii="宋体" w:hAnsi="宋体"/>
      <w:b/>
      <w:sz w:val="28"/>
      <w:szCs w:val="28"/>
    </w:rPr>
  </w:style>
  <w:style w:type="paragraph" w:styleId="5">
    <w:name w:val="heading 3"/>
    <w:basedOn w:val="1"/>
    <w:next w:val="1"/>
    <w:link w:val="40"/>
    <w:qFormat/>
    <w:uiPriority w:val="0"/>
    <w:pPr>
      <w:keepNext/>
      <w:keepLines/>
      <w:spacing w:before="260" w:after="260" w:line="415" w:lineRule="auto"/>
      <w:outlineLvl w:val="2"/>
    </w:pPr>
    <w:rPr>
      <w:b/>
      <w:bCs/>
      <w:sz w:val="32"/>
      <w:szCs w:val="32"/>
    </w:rPr>
  </w:style>
  <w:style w:type="paragraph" w:styleId="6">
    <w:name w:val="heading 4"/>
    <w:basedOn w:val="1"/>
    <w:next w:val="1"/>
    <w:link w:val="41"/>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42"/>
    <w:qFormat/>
    <w:uiPriority w:val="0"/>
    <w:pPr>
      <w:keepNext/>
      <w:keepLines/>
      <w:spacing w:before="280" w:after="290" w:line="374" w:lineRule="auto"/>
      <w:ind w:left="1008" w:hanging="1008"/>
      <w:outlineLvl w:val="4"/>
    </w:pPr>
    <w:rPr>
      <w:b/>
      <w:bCs/>
      <w:sz w:val="28"/>
      <w:szCs w:val="28"/>
    </w:rPr>
  </w:style>
  <w:style w:type="paragraph" w:styleId="8">
    <w:name w:val="heading 6"/>
    <w:basedOn w:val="1"/>
    <w:next w:val="1"/>
    <w:link w:val="43"/>
    <w:qFormat/>
    <w:uiPriority w:val="0"/>
    <w:pPr>
      <w:keepNext/>
      <w:keepLines/>
      <w:widowControl/>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44"/>
    <w:qFormat/>
    <w:uiPriority w:val="0"/>
    <w:pPr>
      <w:keepNext/>
      <w:keepLines/>
      <w:widowControl/>
      <w:spacing w:before="240" w:after="64" w:line="319" w:lineRule="auto"/>
      <w:ind w:left="1296" w:hanging="1296"/>
      <w:jc w:val="left"/>
      <w:outlineLvl w:val="6"/>
    </w:pPr>
    <w:rPr>
      <w:b/>
      <w:bCs/>
      <w:kern w:val="0"/>
      <w:sz w:val="24"/>
    </w:rPr>
  </w:style>
  <w:style w:type="paragraph" w:styleId="10">
    <w:name w:val="heading 8"/>
    <w:basedOn w:val="1"/>
    <w:next w:val="1"/>
    <w:link w:val="45"/>
    <w:qFormat/>
    <w:uiPriority w:val="0"/>
    <w:pPr>
      <w:keepNext/>
      <w:keepLines/>
      <w:widowControl/>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46"/>
    <w:qFormat/>
    <w:uiPriority w:val="0"/>
    <w:pPr>
      <w:keepNext/>
      <w:keepLines/>
      <w:widowControl/>
      <w:spacing w:before="240" w:after="64" w:line="319" w:lineRule="auto"/>
      <w:ind w:left="1584" w:hanging="1584"/>
      <w:jc w:val="left"/>
      <w:outlineLvl w:val="8"/>
    </w:pPr>
    <w:rPr>
      <w:rFonts w:ascii="Arial" w:hAnsi="Arial" w:eastAsia="黑体"/>
      <w:kern w:val="0"/>
      <w:szCs w:val="21"/>
    </w:rPr>
  </w:style>
  <w:style w:type="character" w:default="1" w:styleId="31">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im Sun+ 2" w:hAnsi="Times New Roman" w:eastAsia="Sim Sun+ 2" w:cs="Sim Sun+ 2"/>
      <w:color w:val="000000"/>
      <w:sz w:val="24"/>
      <w:szCs w:val="24"/>
      <w:lang w:val="en-US" w:eastAsia="zh-CN" w:bidi="ar-SA"/>
    </w:rPr>
  </w:style>
  <w:style w:type="paragraph" w:styleId="12">
    <w:name w:val="annotation subject"/>
    <w:basedOn w:val="13"/>
    <w:next w:val="13"/>
    <w:link w:val="47"/>
    <w:qFormat/>
    <w:uiPriority w:val="0"/>
    <w:rPr>
      <w:bCs/>
    </w:rPr>
  </w:style>
  <w:style w:type="paragraph" w:styleId="13">
    <w:name w:val="annotation text"/>
    <w:basedOn w:val="1"/>
    <w:link w:val="54"/>
    <w:qFormat/>
    <w:uiPriority w:val="0"/>
    <w:pPr>
      <w:jc w:val="left"/>
    </w:pPr>
    <w:rPr>
      <w:rFonts w:ascii="仿宋_GB2312" w:hAnsi="Calibri" w:eastAsia="仿宋_GB2312" w:cs="宋体"/>
      <w:b/>
    </w:rPr>
  </w:style>
  <w:style w:type="paragraph" w:styleId="14">
    <w:name w:val="Normal Indent"/>
    <w:basedOn w:val="1"/>
    <w:link w:val="50"/>
    <w:qFormat/>
    <w:uiPriority w:val="0"/>
    <w:pPr>
      <w:ind w:firstLine="420" w:firstLineChars="200"/>
    </w:pPr>
    <w:rPr>
      <w:rFonts w:ascii="Calibri" w:hAnsi="Calibri" w:cs="宋体"/>
    </w:rPr>
  </w:style>
  <w:style w:type="paragraph" w:styleId="15">
    <w:name w:val="Document Map"/>
    <w:basedOn w:val="1"/>
    <w:link w:val="70"/>
    <w:qFormat/>
    <w:uiPriority w:val="0"/>
    <w:pPr>
      <w:shd w:val="clear" w:color="auto" w:fill="000080"/>
    </w:pPr>
  </w:style>
  <w:style w:type="paragraph" w:styleId="16">
    <w:name w:val="Body Text"/>
    <w:basedOn w:val="1"/>
    <w:next w:val="1"/>
    <w:link w:val="68"/>
    <w:qFormat/>
    <w:uiPriority w:val="0"/>
    <w:pPr>
      <w:spacing w:after="120"/>
    </w:pPr>
    <w:rPr>
      <w:rFonts w:ascii="Calibri" w:hAnsi="Calibri"/>
      <w:szCs w:val="21"/>
    </w:rPr>
  </w:style>
  <w:style w:type="paragraph" w:styleId="17">
    <w:name w:val="Body Text Indent"/>
    <w:basedOn w:val="1"/>
    <w:link w:val="60"/>
    <w:qFormat/>
    <w:uiPriority w:val="0"/>
    <w:pPr>
      <w:spacing w:after="120"/>
      <w:ind w:left="420" w:leftChars="200"/>
    </w:pPr>
  </w:style>
  <w:style w:type="paragraph" w:styleId="18">
    <w:name w:val="toc 3"/>
    <w:basedOn w:val="1"/>
    <w:next w:val="1"/>
    <w:qFormat/>
    <w:uiPriority w:val="0"/>
    <w:pPr>
      <w:ind w:left="840" w:leftChars="400"/>
    </w:pPr>
  </w:style>
  <w:style w:type="paragraph" w:styleId="19">
    <w:name w:val="Plain Text"/>
    <w:basedOn w:val="1"/>
    <w:link w:val="57"/>
    <w:qFormat/>
    <w:uiPriority w:val="0"/>
    <w:rPr>
      <w:rFonts w:ascii="宋体" w:hAnsi="Courier New" w:cs="宋体"/>
      <w:szCs w:val="22"/>
    </w:rPr>
  </w:style>
  <w:style w:type="paragraph" w:styleId="20">
    <w:name w:val="Date"/>
    <w:basedOn w:val="1"/>
    <w:next w:val="1"/>
    <w:link w:val="69"/>
    <w:qFormat/>
    <w:uiPriority w:val="0"/>
    <w:pPr>
      <w:ind w:left="100" w:leftChars="2500"/>
    </w:pPr>
    <w:rPr>
      <w:rFonts w:eastAsia="仿宋_GB2312"/>
      <w:sz w:val="32"/>
    </w:rPr>
  </w:style>
  <w:style w:type="paragraph" w:styleId="21">
    <w:name w:val="Body Text Indent 2"/>
    <w:basedOn w:val="1"/>
    <w:link w:val="66"/>
    <w:qFormat/>
    <w:uiPriority w:val="0"/>
    <w:pPr>
      <w:spacing w:after="120" w:line="480" w:lineRule="auto"/>
      <w:ind w:left="420" w:leftChars="200"/>
    </w:pPr>
  </w:style>
  <w:style w:type="paragraph" w:styleId="22">
    <w:name w:val="Balloon Text"/>
    <w:basedOn w:val="1"/>
    <w:link w:val="72"/>
    <w:qFormat/>
    <w:uiPriority w:val="0"/>
    <w:rPr>
      <w:sz w:val="18"/>
      <w:szCs w:val="18"/>
    </w:rPr>
  </w:style>
  <w:style w:type="paragraph" w:styleId="23">
    <w:name w:val="footer"/>
    <w:basedOn w:val="1"/>
    <w:link w:val="48"/>
    <w:qFormat/>
    <w:uiPriority w:val="0"/>
    <w:pPr>
      <w:tabs>
        <w:tab w:val="center" w:pos="4153"/>
        <w:tab w:val="right" w:pos="8306"/>
      </w:tabs>
      <w:snapToGrid w:val="0"/>
      <w:jc w:val="left"/>
    </w:pPr>
    <w:rPr>
      <w:rFonts w:ascii="Calibri" w:hAnsi="Calibri" w:cs="宋体"/>
      <w:sz w:val="18"/>
      <w:szCs w:val="18"/>
    </w:rPr>
  </w:style>
  <w:style w:type="paragraph" w:styleId="24">
    <w:name w:val="Body Text First Indent 2"/>
    <w:basedOn w:val="17"/>
    <w:qFormat/>
    <w:uiPriority w:val="0"/>
    <w:pPr>
      <w:ind w:firstLine="420" w:firstLineChars="200"/>
    </w:pPr>
  </w:style>
  <w:style w:type="paragraph" w:styleId="25">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left" w:pos="1050"/>
        <w:tab w:val="right" w:leader="dot" w:pos="9402"/>
      </w:tabs>
    </w:pPr>
    <w:rPr>
      <w:b/>
    </w:rPr>
  </w:style>
  <w:style w:type="paragraph" w:styleId="27">
    <w:name w:val="Body Text Indent 3"/>
    <w:basedOn w:val="1"/>
    <w:link w:val="64"/>
    <w:qFormat/>
    <w:uiPriority w:val="0"/>
    <w:pPr>
      <w:spacing w:after="120"/>
      <w:ind w:left="420" w:leftChars="200"/>
    </w:pPr>
    <w:rPr>
      <w:sz w:val="16"/>
      <w:szCs w:val="16"/>
    </w:rPr>
  </w:style>
  <w:style w:type="paragraph" w:styleId="28">
    <w:name w:val="toc 2"/>
    <w:basedOn w:val="1"/>
    <w:next w:val="1"/>
    <w:qFormat/>
    <w:uiPriority w:val="0"/>
    <w:pPr>
      <w:ind w:left="420" w:leftChars="200"/>
    </w:pPr>
  </w:style>
  <w:style w:type="paragraph" w:styleId="29">
    <w:name w:val="Normal (Web)"/>
    <w:basedOn w:val="1"/>
    <w:qFormat/>
    <w:uiPriority w:val="0"/>
    <w:pPr>
      <w:widowControl/>
      <w:jc w:val="left"/>
    </w:pPr>
    <w:rPr>
      <w:rFonts w:ascii="宋体" w:hAnsi="宋体" w:cs="宋体"/>
      <w:kern w:val="0"/>
      <w:sz w:val="24"/>
    </w:rPr>
  </w:style>
  <w:style w:type="paragraph" w:styleId="30">
    <w:name w:val="Title"/>
    <w:basedOn w:val="1"/>
    <w:next w:val="1"/>
    <w:link w:val="49"/>
    <w:qFormat/>
    <w:uiPriority w:val="0"/>
    <w:pPr>
      <w:spacing w:before="240" w:after="60"/>
      <w:jc w:val="center"/>
      <w:outlineLvl w:val="0"/>
    </w:pPr>
    <w:rPr>
      <w:rFonts w:ascii="Cambria" w:hAnsi="Cambria" w:cs="宋体"/>
      <w:b/>
      <w:bCs/>
      <w:sz w:val="32"/>
      <w:szCs w:val="32"/>
    </w:rPr>
  </w:style>
  <w:style w:type="character" w:styleId="32">
    <w:name w:val="Strong"/>
    <w:qFormat/>
    <w:uiPriority w:val="0"/>
    <w:rPr>
      <w:b/>
      <w:bCs/>
    </w:rPr>
  </w:style>
  <w:style w:type="character" w:styleId="33">
    <w:name w:val="page number"/>
    <w:basedOn w:val="31"/>
    <w:qFormat/>
    <w:uiPriority w:val="0"/>
    <w:rPr>
      <w:rFonts w:ascii="仿宋_GB2312" w:eastAsia="仿宋_GB2312"/>
      <w:b/>
      <w:sz w:val="32"/>
      <w:szCs w:val="32"/>
    </w:rPr>
  </w:style>
  <w:style w:type="character" w:styleId="34">
    <w:name w:val="Hyperlink"/>
    <w:qFormat/>
    <w:uiPriority w:val="0"/>
    <w:rPr>
      <w:color w:val="0000FF"/>
      <w:u w:val="single"/>
    </w:rPr>
  </w:style>
  <w:style w:type="character" w:styleId="35">
    <w:name w:val="annotation reference"/>
    <w:qFormat/>
    <w:uiPriority w:val="0"/>
    <w:rPr>
      <w:rFonts w:ascii="仿宋_GB2312" w:eastAsia="仿宋_GB2312"/>
      <w:b/>
      <w:sz w:val="21"/>
      <w:szCs w:val="21"/>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标题 1 字符"/>
    <w:basedOn w:val="31"/>
    <w:link w:val="3"/>
    <w:qFormat/>
    <w:uiPriority w:val="0"/>
    <w:rPr>
      <w:rFonts w:ascii="Times New Roman" w:hAnsi="Times New Roman" w:eastAsia="宋体" w:cs="Times New Roman"/>
      <w:b/>
      <w:bCs/>
      <w:kern w:val="44"/>
      <w:sz w:val="44"/>
      <w:szCs w:val="44"/>
    </w:rPr>
  </w:style>
  <w:style w:type="character" w:customStyle="1" w:styleId="39">
    <w:name w:val="标题 2 字符"/>
    <w:basedOn w:val="31"/>
    <w:link w:val="4"/>
    <w:qFormat/>
    <w:uiPriority w:val="0"/>
    <w:rPr>
      <w:rFonts w:ascii="宋体" w:hAnsi="宋体" w:eastAsia="宋体" w:cs="Times New Roman"/>
      <w:b/>
      <w:sz w:val="28"/>
      <w:szCs w:val="28"/>
    </w:rPr>
  </w:style>
  <w:style w:type="character" w:customStyle="1" w:styleId="40">
    <w:name w:val="标题 3 字符"/>
    <w:basedOn w:val="31"/>
    <w:link w:val="5"/>
    <w:qFormat/>
    <w:uiPriority w:val="0"/>
    <w:rPr>
      <w:rFonts w:ascii="Times New Roman" w:hAnsi="Times New Roman" w:eastAsia="宋体" w:cs="Times New Roman"/>
      <w:b/>
      <w:bCs/>
      <w:sz w:val="32"/>
      <w:szCs w:val="32"/>
    </w:rPr>
  </w:style>
  <w:style w:type="character" w:customStyle="1" w:styleId="41">
    <w:name w:val="标题 4 字符"/>
    <w:basedOn w:val="31"/>
    <w:link w:val="6"/>
    <w:qFormat/>
    <w:uiPriority w:val="0"/>
    <w:rPr>
      <w:rFonts w:ascii="Arial" w:hAnsi="Arial" w:eastAsia="黑体" w:cs="Times New Roman"/>
      <w:b/>
      <w:bCs/>
      <w:sz w:val="28"/>
      <w:szCs w:val="28"/>
    </w:rPr>
  </w:style>
  <w:style w:type="character" w:customStyle="1" w:styleId="42">
    <w:name w:val="标题 5 字符"/>
    <w:basedOn w:val="31"/>
    <w:link w:val="7"/>
    <w:qFormat/>
    <w:uiPriority w:val="0"/>
    <w:rPr>
      <w:rFonts w:ascii="Times New Roman" w:hAnsi="Times New Roman" w:eastAsia="宋体" w:cs="Times New Roman"/>
      <w:b/>
      <w:bCs/>
      <w:sz w:val="28"/>
      <w:szCs w:val="28"/>
    </w:rPr>
  </w:style>
  <w:style w:type="character" w:customStyle="1" w:styleId="43">
    <w:name w:val="标题 6 字符"/>
    <w:basedOn w:val="31"/>
    <w:link w:val="8"/>
    <w:qFormat/>
    <w:uiPriority w:val="0"/>
    <w:rPr>
      <w:rFonts w:ascii="Arial" w:hAnsi="Arial" w:eastAsia="黑体" w:cs="Times New Roman"/>
      <w:b/>
      <w:bCs/>
      <w:kern w:val="0"/>
      <w:sz w:val="24"/>
      <w:szCs w:val="24"/>
    </w:rPr>
  </w:style>
  <w:style w:type="character" w:customStyle="1" w:styleId="44">
    <w:name w:val="标题 7 字符"/>
    <w:basedOn w:val="31"/>
    <w:link w:val="9"/>
    <w:qFormat/>
    <w:uiPriority w:val="0"/>
    <w:rPr>
      <w:rFonts w:ascii="Times New Roman" w:hAnsi="Times New Roman" w:eastAsia="宋体" w:cs="Times New Roman"/>
      <w:b/>
      <w:bCs/>
      <w:kern w:val="0"/>
      <w:sz w:val="24"/>
      <w:szCs w:val="24"/>
    </w:rPr>
  </w:style>
  <w:style w:type="character" w:customStyle="1" w:styleId="45">
    <w:name w:val="标题 8 字符"/>
    <w:basedOn w:val="31"/>
    <w:link w:val="10"/>
    <w:qFormat/>
    <w:uiPriority w:val="0"/>
    <w:rPr>
      <w:rFonts w:ascii="Arial" w:hAnsi="Arial" w:eastAsia="黑体" w:cs="Times New Roman"/>
      <w:kern w:val="0"/>
      <w:sz w:val="24"/>
      <w:szCs w:val="24"/>
    </w:rPr>
  </w:style>
  <w:style w:type="character" w:customStyle="1" w:styleId="46">
    <w:name w:val="标题 9 字符"/>
    <w:basedOn w:val="31"/>
    <w:link w:val="11"/>
    <w:qFormat/>
    <w:uiPriority w:val="0"/>
    <w:rPr>
      <w:rFonts w:ascii="Arial" w:hAnsi="Arial" w:eastAsia="黑体" w:cs="Times New Roman"/>
      <w:kern w:val="0"/>
      <w:szCs w:val="21"/>
    </w:rPr>
  </w:style>
  <w:style w:type="character" w:customStyle="1" w:styleId="47">
    <w:name w:val="批注主题 字符"/>
    <w:link w:val="12"/>
    <w:qFormat/>
    <w:uiPriority w:val="0"/>
    <w:rPr>
      <w:rFonts w:ascii="仿宋_GB2312" w:eastAsia="仿宋_GB2312"/>
      <w:b/>
      <w:bCs/>
      <w:szCs w:val="24"/>
    </w:rPr>
  </w:style>
  <w:style w:type="character" w:customStyle="1" w:styleId="48">
    <w:name w:val="页脚 字符"/>
    <w:link w:val="23"/>
    <w:qFormat/>
    <w:uiPriority w:val="0"/>
    <w:rPr>
      <w:rFonts w:eastAsia="宋体"/>
      <w:sz w:val="18"/>
      <w:szCs w:val="18"/>
    </w:rPr>
  </w:style>
  <w:style w:type="character" w:customStyle="1" w:styleId="49">
    <w:name w:val="标题 字符"/>
    <w:link w:val="30"/>
    <w:qFormat/>
    <w:uiPriority w:val="0"/>
    <w:rPr>
      <w:rFonts w:ascii="Cambria" w:hAnsi="Cambria" w:eastAsia="宋体"/>
      <w:b/>
      <w:bCs/>
      <w:sz w:val="32"/>
      <w:szCs w:val="32"/>
    </w:rPr>
  </w:style>
  <w:style w:type="character" w:customStyle="1" w:styleId="50">
    <w:name w:val="正文缩进 字符"/>
    <w:link w:val="14"/>
    <w:qFormat/>
    <w:uiPriority w:val="0"/>
    <w:rPr>
      <w:rFonts w:eastAsia="宋体"/>
      <w:szCs w:val="24"/>
    </w:rPr>
  </w:style>
  <w:style w:type="character" w:customStyle="1" w:styleId="51">
    <w:name w:val="font01"/>
    <w:basedOn w:val="31"/>
    <w:qFormat/>
    <w:uiPriority w:val="0"/>
    <w:rPr>
      <w:rFonts w:hint="eastAsia" w:ascii="仿宋" w:hAnsi="仿宋" w:eastAsia="仿宋" w:cs="仿宋"/>
      <w:b/>
      <w:color w:val="000000"/>
      <w:sz w:val="24"/>
      <w:szCs w:val="24"/>
      <w:u w:val="none"/>
    </w:rPr>
  </w:style>
  <w:style w:type="character" w:customStyle="1" w:styleId="52">
    <w:name w:val="CD正文 Char Char"/>
    <w:link w:val="53"/>
    <w:qFormat/>
    <w:uiPriority w:val="0"/>
    <w:rPr>
      <w:sz w:val="30"/>
      <w:szCs w:val="28"/>
    </w:rPr>
  </w:style>
  <w:style w:type="paragraph" w:customStyle="1" w:styleId="53">
    <w:name w:val="CD正文"/>
    <w:basedOn w:val="1"/>
    <w:link w:val="52"/>
    <w:qFormat/>
    <w:uiPriority w:val="0"/>
    <w:pPr>
      <w:spacing w:line="360" w:lineRule="auto"/>
      <w:ind w:firstLine="493"/>
    </w:pPr>
    <w:rPr>
      <w:rFonts w:ascii="Calibri" w:hAnsi="Calibri" w:cs="宋体"/>
      <w:sz w:val="30"/>
      <w:szCs w:val="28"/>
    </w:rPr>
  </w:style>
  <w:style w:type="character" w:customStyle="1" w:styleId="54">
    <w:name w:val="批注文字 字符"/>
    <w:link w:val="13"/>
    <w:qFormat/>
    <w:uiPriority w:val="0"/>
    <w:rPr>
      <w:rFonts w:ascii="仿宋_GB2312" w:eastAsia="仿宋_GB2312"/>
      <w:b/>
      <w:szCs w:val="24"/>
    </w:rPr>
  </w:style>
  <w:style w:type="character" w:customStyle="1" w:styleId="55">
    <w:name w:val="彩色列表字符"/>
    <w:link w:val="56"/>
    <w:qFormat/>
    <w:uiPriority w:val="0"/>
    <w:rPr>
      <w:rFonts w:eastAsia="宋体"/>
      <w:sz w:val="18"/>
      <w:szCs w:val="18"/>
    </w:rPr>
  </w:style>
  <w:style w:type="paragraph" w:customStyle="1" w:styleId="56">
    <w:name w:val="彩色列表1"/>
    <w:basedOn w:val="1"/>
    <w:link w:val="55"/>
    <w:qFormat/>
    <w:uiPriority w:val="0"/>
    <w:pPr>
      <w:ind w:firstLine="420" w:firstLineChars="200"/>
    </w:pPr>
    <w:rPr>
      <w:rFonts w:ascii="Calibri" w:hAnsi="Calibri" w:cs="宋体"/>
      <w:sz w:val="18"/>
      <w:szCs w:val="18"/>
    </w:rPr>
  </w:style>
  <w:style w:type="character" w:customStyle="1" w:styleId="57">
    <w:name w:val="纯文本 字符"/>
    <w:link w:val="19"/>
    <w:qFormat/>
    <w:uiPriority w:val="0"/>
    <w:rPr>
      <w:rFonts w:ascii="宋体" w:hAnsi="Courier New" w:eastAsia="宋体"/>
    </w:rPr>
  </w:style>
  <w:style w:type="character" w:customStyle="1" w:styleId="58">
    <w:name w:val="apple-style-span"/>
    <w:basedOn w:val="31"/>
    <w:qFormat/>
    <w:uiPriority w:val="0"/>
    <w:rPr>
      <w:rFonts w:ascii="仿宋_GB2312" w:eastAsia="仿宋_GB2312"/>
      <w:b/>
      <w:sz w:val="32"/>
      <w:szCs w:val="32"/>
    </w:rPr>
  </w:style>
  <w:style w:type="character" w:customStyle="1" w:styleId="59">
    <w:name w:val="font11"/>
    <w:basedOn w:val="31"/>
    <w:qFormat/>
    <w:uiPriority w:val="0"/>
    <w:rPr>
      <w:rFonts w:hint="eastAsia" w:ascii="仿宋" w:hAnsi="仿宋" w:eastAsia="仿宋" w:cs="仿宋"/>
      <w:b/>
      <w:color w:val="000000"/>
      <w:sz w:val="24"/>
      <w:szCs w:val="24"/>
      <w:u w:val="none"/>
    </w:rPr>
  </w:style>
  <w:style w:type="character" w:customStyle="1" w:styleId="60">
    <w:name w:val="正文文本缩进 字符"/>
    <w:basedOn w:val="31"/>
    <w:link w:val="17"/>
    <w:qFormat/>
    <w:uiPriority w:val="0"/>
    <w:rPr>
      <w:rFonts w:ascii="Times New Roman" w:hAnsi="Times New Roman" w:eastAsia="宋体" w:cs="Times New Roman"/>
      <w:szCs w:val="24"/>
    </w:rPr>
  </w:style>
  <w:style w:type="character" w:customStyle="1" w:styleId="61">
    <w:name w:val="纯文本 Char1"/>
    <w:basedOn w:val="31"/>
    <w:qFormat/>
    <w:uiPriority w:val="99"/>
    <w:rPr>
      <w:rFonts w:ascii="宋体" w:hAnsi="Courier New" w:eastAsia="宋体" w:cs="Courier New"/>
      <w:szCs w:val="21"/>
    </w:rPr>
  </w:style>
  <w:style w:type="character" w:customStyle="1" w:styleId="62">
    <w:name w:val="批注文字 Char1"/>
    <w:basedOn w:val="31"/>
    <w:qFormat/>
    <w:uiPriority w:val="99"/>
    <w:rPr>
      <w:rFonts w:ascii="Times New Roman" w:hAnsi="Times New Roman" w:eastAsia="宋体" w:cs="Times New Roman"/>
      <w:szCs w:val="24"/>
    </w:rPr>
  </w:style>
  <w:style w:type="character" w:customStyle="1" w:styleId="63">
    <w:name w:val="标题 Char1"/>
    <w:basedOn w:val="31"/>
    <w:qFormat/>
    <w:uiPriority w:val="10"/>
    <w:rPr>
      <w:rFonts w:ascii="Cambria" w:hAnsi="Cambria" w:eastAsia="宋体" w:cs="宋体"/>
      <w:b/>
      <w:bCs/>
      <w:sz w:val="32"/>
      <w:szCs w:val="32"/>
    </w:rPr>
  </w:style>
  <w:style w:type="character" w:customStyle="1" w:styleId="64">
    <w:name w:val="正文文本缩进 3 字符"/>
    <w:basedOn w:val="31"/>
    <w:link w:val="27"/>
    <w:qFormat/>
    <w:uiPriority w:val="0"/>
    <w:rPr>
      <w:rFonts w:ascii="Times New Roman" w:hAnsi="Times New Roman" w:eastAsia="宋体" w:cs="Times New Roman"/>
      <w:sz w:val="16"/>
      <w:szCs w:val="16"/>
    </w:rPr>
  </w:style>
  <w:style w:type="character" w:customStyle="1" w:styleId="65">
    <w:name w:val="页脚 Char1"/>
    <w:basedOn w:val="31"/>
    <w:qFormat/>
    <w:uiPriority w:val="99"/>
    <w:rPr>
      <w:rFonts w:ascii="Times New Roman" w:hAnsi="Times New Roman" w:eastAsia="宋体" w:cs="Times New Roman"/>
      <w:sz w:val="18"/>
      <w:szCs w:val="18"/>
    </w:rPr>
  </w:style>
  <w:style w:type="character" w:customStyle="1" w:styleId="66">
    <w:name w:val="正文文本缩进 2 字符"/>
    <w:basedOn w:val="31"/>
    <w:link w:val="21"/>
    <w:qFormat/>
    <w:uiPriority w:val="0"/>
    <w:rPr>
      <w:rFonts w:ascii="Times New Roman" w:hAnsi="Times New Roman" w:eastAsia="宋体" w:cs="Times New Roman"/>
      <w:szCs w:val="24"/>
    </w:rPr>
  </w:style>
  <w:style w:type="character" w:customStyle="1" w:styleId="67">
    <w:name w:val="页眉 字符"/>
    <w:basedOn w:val="31"/>
    <w:link w:val="25"/>
    <w:qFormat/>
    <w:uiPriority w:val="0"/>
    <w:rPr>
      <w:rFonts w:ascii="Times New Roman" w:hAnsi="Times New Roman" w:eastAsia="宋体" w:cs="Times New Roman"/>
      <w:sz w:val="18"/>
      <w:szCs w:val="18"/>
    </w:rPr>
  </w:style>
  <w:style w:type="character" w:customStyle="1" w:styleId="68">
    <w:name w:val="正文文本 字符"/>
    <w:basedOn w:val="31"/>
    <w:link w:val="16"/>
    <w:qFormat/>
    <w:uiPriority w:val="0"/>
    <w:rPr>
      <w:rFonts w:ascii="Calibri" w:hAnsi="Calibri" w:eastAsia="宋体" w:cs="Times New Roman"/>
      <w:szCs w:val="21"/>
    </w:rPr>
  </w:style>
  <w:style w:type="character" w:customStyle="1" w:styleId="69">
    <w:name w:val="日期 字符"/>
    <w:basedOn w:val="31"/>
    <w:link w:val="20"/>
    <w:qFormat/>
    <w:uiPriority w:val="0"/>
    <w:rPr>
      <w:rFonts w:ascii="Times New Roman" w:hAnsi="Times New Roman" w:eastAsia="仿宋_GB2312" w:cs="Times New Roman"/>
      <w:sz w:val="32"/>
      <w:szCs w:val="24"/>
    </w:rPr>
  </w:style>
  <w:style w:type="character" w:customStyle="1" w:styleId="70">
    <w:name w:val="文档结构图 字符"/>
    <w:basedOn w:val="31"/>
    <w:link w:val="15"/>
    <w:qFormat/>
    <w:uiPriority w:val="0"/>
    <w:rPr>
      <w:rFonts w:ascii="Times New Roman" w:hAnsi="Times New Roman" w:eastAsia="宋体" w:cs="Times New Roman"/>
      <w:szCs w:val="24"/>
      <w:shd w:val="clear" w:color="auto" w:fill="000080"/>
    </w:rPr>
  </w:style>
  <w:style w:type="character" w:customStyle="1" w:styleId="71">
    <w:name w:val="批注主题 Char1"/>
    <w:basedOn w:val="62"/>
    <w:qFormat/>
    <w:uiPriority w:val="99"/>
    <w:rPr>
      <w:rFonts w:ascii="Times New Roman" w:hAnsi="Times New Roman" w:eastAsia="宋体" w:cs="Times New Roman"/>
      <w:b/>
      <w:bCs/>
      <w:szCs w:val="24"/>
    </w:rPr>
  </w:style>
  <w:style w:type="character" w:customStyle="1" w:styleId="72">
    <w:name w:val="批注框文本 字符"/>
    <w:basedOn w:val="31"/>
    <w:link w:val="22"/>
    <w:qFormat/>
    <w:uiPriority w:val="0"/>
    <w:rPr>
      <w:rFonts w:ascii="Times New Roman" w:hAnsi="Times New Roman" w:eastAsia="宋体" w:cs="Times New Roman"/>
      <w:sz w:val="18"/>
      <w:szCs w:val="18"/>
    </w:rPr>
  </w:style>
  <w:style w:type="paragraph" w:customStyle="1" w:styleId="73">
    <w:name w:val="列出段落1"/>
    <w:qFormat/>
    <w:uiPriority w:val="0"/>
    <w:pPr>
      <w:widowControl w:val="0"/>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_Style 1"/>
    <w:basedOn w:val="1"/>
    <w:qFormat/>
    <w:uiPriority w:val="34"/>
    <w:pPr>
      <w:ind w:firstLine="420" w:firstLineChars="200"/>
    </w:pPr>
  </w:style>
  <w:style w:type="paragraph" w:customStyle="1" w:styleId="76">
    <w:name w:val="默认段落字体 Para Char Char Char Char"/>
    <w:basedOn w:val="1"/>
    <w:qFormat/>
    <w:uiPriority w:val="0"/>
  </w:style>
  <w:style w:type="paragraph" w:customStyle="1" w:styleId="77">
    <w:name w:val="目录"/>
    <w:basedOn w:val="1"/>
    <w:qFormat/>
    <w:uiPriority w:val="0"/>
    <w:pPr>
      <w:widowControl/>
      <w:jc w:val="center"/>
    </w:pPr>
    <w:rPr>
      <w:b/>
      <w:kern w:val="0"/>
      <w:sz w:val="36"/>
      <w:szCs w:val="20"/>
    </w:rPr>
  </w:style>
  <w:style w:type="paragraph" w:customStyle="1" w:styleId="78">
    <w:name w:val="Char1"/>
    <w:basedOn w:val="1"/>
    <w:qFormat/>
    <w:uiPriority w:val="0"/>
    <w:rPr>
      <w:rFonts w:ascii="仿宋_GB2312" w:eastAsia="仿宋_GB2312"/>
      <w:b/>
      <w:sz w:val="32"/>
      <w:szCs w:val="32"/>
    </w:rPr>
  </w:style>
  <w:style w:type="paragraph" w:customStyle="1" w:styleId="79">
    <w:name w:val="列出段落2"/>
    <w:basedOn w:val="1"/>
    <w:qFormat/>
    <w:uiPriority w:val="0"/>
    <w:pPr>
      <w:spacing w:line="560" w:lineRule="exact"/>
      <w:ind w:firstLine="420" w:firstLineChars="200"/>
    </w:pPr>
    <w:rPr>
      <w:rFonts w:ascii="Calibri" w:hAnsi="Calibri"/>
      <w:szCs w:val="22"/>
    </w:rPr>
  </w:style>
  <w:style w:type="paragraph" w:customStyle="1" w:styleId="80">
    <w:name w:val="Body Text 21"/>
    <w:basedOn w:val="1"/>
    <w:qFormat/>
    <w:uiPriority w:val="0"/>
    <w:pPr>
      <w:adjustRightInd w:val="0"/>
      <w:spacing w:line="300" w:lineRule="auto"/>
      <w:jc w:val="center"/>
      <w:textAlignment w:val="baseline"/>
    </w:pPr>
    <w:rPr>
      <w:rFonts w:ascii="宋体" w:hAnsi="宋体"/>
      <w:szCs w:val="20"/>
    </w:rPr>
  </w:style>
  <w:style w:type="paragraph" w:customStyle="1" w:styleId="81">
    <w:name w:val="正文首行缩进两字符"/>
    <w:basedOn w:val="1"/>
    <w:qFormat/>
    <w:uiPriority w:val="0"/>
    <w:pPr>
      <w:spacing w:line="360" w:lineRule="auto"/>
      <w:ind w:firstLine="200" w:firstLineChars="200"/>
    </w:pPr>
    <w:rPr>
      <w:szCs w:val="20"/>
    </w:rPr>
  </w:style>
  <w:style w:type="paragraph" w:customStyle="1" w:styleId="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3">
    <w:name w:val="列出段落21"/>
    <w:basedOn w:val="1"/>
    <w:qFormat/>
    <w:uiPriority w:val="34"/>
    <w:pPr>
      <w:spacing w:line="300" w:lineRule="auto"/>
      <w:ind w:firstLine="420" w:firstLineChars="200"/>
    </w:pPr>
    <w:rPr>
      <w:rFonts w:ascii="宋体"/>
      <w:kern w:val="0"/>
      <w:sz w:val="24"/>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样式1"/>
    <w:basedOn w:val="1"/>
    <w:qFormat/>
    <w:uiPriority w:val="0"/>
    <w:pPr>
      <w:snapToGrid w:val="0"/>
      <w:spacing w:before="100" w:beforeAutospacing="1" w:after="100" w:afterAutospacing="1" w:line="360" w:lineRule="auto"/>
      <w:ind w:firstLine="200" w:firstLineChars="200"/>
    </w:pPr>
    <w:rPr>
      <w:rFonts w:ascii="宋体" w:hAnsi="宋体"/>
      <w:sz w:val="28"/>
      <w:szCs w:val="28"/>
    </w:rPr>
  </w:style>
  <w:style w:type="paragraph" w:customStyle="1" w:styleId="86">
    <w:name w:val="样式 首行缩进:  2 字符"/>
    <w:basedOn w:val="1"/>
    <w:qFormat/>
    <w:uiPriority w:val="0"/>
    <w:pPr>
      <w:spacing w:line="400" w:lineRule="exact"/>
      <w:ind w:firstLine="200" w:firstLineChars="200"/>
    </w:pPr>
    <w:rPr>
      <w:rFonts w:cs="宋体"/>
      <w:sz w:val="24"/>
    </w:rPr>
  </w:style>
  <w:style w:type="paragraph" w:customStyle="1" w:styleId="87">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88">
    <w:name w:val="标题 31"/>
    <w:next w:val="82"/>
    <w:qFormat/>
    <w:uiPriority w:val="0"/>
    <w:pPr>
      <w:keepNext/>
      <w:keepLines/>
      <w:widowControl w:val="0"/>
      <w:spacing w:before="260" w:after="260" w:line="415" w:lineRule="auto"/>
      <w:jc w:val="both"/>
      <w:outlineLvl w:val="2"/>
    </w:pPr>
    <w:rPr>
      <w:rFonts w:ascii="Times New Roman" w:hAnsi="Times New Roman" w:eastAsia="Arial Unicode MS" w:cs="Arial Unicode MS"/>
      <w:b/>
      <w:bCs/>
      <w:color w:val="000000"/>
      <w:kern w:val="2"/>
      <w:sz w:val="32"/>
      <w:szCs w:val="32"/>
      <w:u w:color="000000"/>
      <w:lang w:val="en-US" w:eastAsia="zh-CN" w:bidi="ar-SA"/>
    </w:rPr>
  </w:style>
  <w:style w:type="paragraph" w:customStyle="1" w:styleId="89">
    <w:name w:val="p0"/>
    <w:basedOn w:val="1"/>
    <w:qFormat/>
    <w:uiPriority w:val="0"/>
    <w:pPr>
      <w:widowControl/>
    </w:pPr>
    <w:rPr>
      <w:rFonts w:ascii="Calibri" w:hAnsi="Calibri" w:cs="宋体"/>
      <w:kern w:val="0"/>
      <w:szCs w:val="21"/>
    </w:rPr>
  </w:style>
  <w:style w:type="character" w:customStyle="1" w:styleId="90">
    <w:name w:val="font31"/>
    <w:qFormat/>
    <w:uiPriority w:val="0"/>
    <w:rPr>
      <w:rFonts w:hint="eastAsia" w:ascii="宋体" w:hAnsi="宋体" w:eastAsia="宋体" w:cs="宋体"/>
      <w:color w:val="000000"/>
      <w:sz w:val="20"/>
      <w:szCs w:val="20"/>
      <w:u w:val="none"/>
    </w:rPr>
  </w:style>
  <w:style w:type="paragraph" w:customStyle="1" w:styleId="91">
    <w:name w:val="列表段落1"/>
    <w:basedOn w:val="1"/>
    <w:qFormat/>
    <w:uiPriority w:val="34"/>
    <w:pPr>
      <w:ind w:firstLine="420" w:firstLineChars="200"/>
    </w:pPr>
  </w:style>
  <w:style w:type="character" w:customStyle="1" w:styleId="92">
    <w:name w:val="font21"/>
    <w:basedOn w:val="31"/>
    <w:qFormat/>
    <w:uiPriority w:val="0"/>
    <w:rPr>
      <w:rFonts w:hint="eastAsia" w:ascii="宋体" w:hAnsi="宋体" w:eastAsia="宋体" w:cs="宋体"/>
      <w:color w:val="000000"/>
      <w:sz w:val="22"/>
      <w:szCs w:val="22"/>
      <w:u w:val="none"/>
    </w:rPr>
  </w:style>
  <w:style w:type="character" w:customStyle="1" w:styleId="93">
    <w:name w:val="font41"/>
    <w:basedOn w:val="31"/>
    <w:qFormat/>
    <w:uiPriority w:val="0"/>
    <w:rPr>
      <w:rFonts w:ascii="Calibri" w:hAnsi="Calibri" w:cs="Calibri"/>
      <w:color w:val="000000"/>
      <w:sz w:val="22"/>
      <w:szCs w:val="22"/>
      <w:u w:val="none"/>
    </w:rPr>
  </w:style>
  <w:style w:type="paragraph" w:customStyle="1" w:styleId="94">
    <w:name w:val="List Paragraph"/>
    <w:basedOn w:val="1"/>
    <w:qFormat/>
    <w:uiPriority w:val="1"/>
    <w:pPr>
      <w:spacing w:before="110"/>
      <w:ind w:left="101" w:firstLine="439"/>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20120</Words>
  <Characters>21645</Characters>
  <Lines>142</Lines>
  <Paragraphs>40</Paragraphs>
  <ScaleCrop>false</ScaleCrop>
  <LinksUpToDate>false</LinksUpToDate>
  <CharactersWithSpaces>23864</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2021-05-25T12:15:00Z</dcterms:created>
  <dc:creator>Administrator</dc:creator>
  <cp:lastModifiedBy>guojian</cp:lastModifiedBy>
  <dcterms:modified xsi:type="dcterms:W3CDTF">2022-04-11T11:00:43Z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18D70C3FE580415CAA1BEEACA3483769</vt:lpwstr>
  </property>
</Properties>
</file>